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7A9B" w14:textId="4B9893F1" w:rsidR="006432E2" w:rsidRPr="00DE7550" w:rsidRDefault="00B064E1" w:rsidP="005F33EF">
      <w:pPr>
        <w:spacing w:line="360" w:lineRule="auto"/>
        <w:rPr>
          <w:sz w:val="20"/>
          <w:szCs w:val="20"/>
          <w:lang w:val="en-US"/>
        </w:rPr>
      </w:pPr>
      <w:r w:rsidRPr="00602A80">
        <w:rPr>
          <w:noProof/>
          <w:lang w:val="nl-NL" w:eastAsia="nl-NL"/>
        </w:rPr>
        <w:drawing>
          <wp:anchor distT="0" distB="0" distL="114300" distR="114300" simplePos="0" relativeHeight="251660288" behindDoc="0" locked="0" layoutInCell="1" allowOverlap="1" wp14:anchorId="33493B68" wp14:editId="1B78D1CF">
            <wp:simplePos x="0" y="0"/>
            <wp:positionH relativeFrom="margin">
              <wp:posOffset>4512310</wp:posOffset>
            </wp:positionH>
            <wp:positionV relativeFrom="margin">
              <wp:posOffset>234445</wp:posOffset>
            </wp:positionV>
            <wp:extent cx="1516800" cy="469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1-11 om 15.07.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800" cy="469900"/>
                    </a:xfrm>
                    <a:prstGeom prst="rect">
                      <a:avLst/>
                    </a:prstGeom>
                  </pic:spPr>
                </pic:pic>
              </a:graphicData>
            </a:graphic>
            <wp14:sizeRelH relativeFrom="page">
              <wp14:pctWidth>0</wp14:pctWidth>
            </wp14:sizeRelH>
            <wp14:sizeRelV relativeFrom="page">
              <wp14:pctHeight>0</wp14:pctHeight>
            </wp14:sizeRelV>
          </wp:anchor>
        </w:drawing>
      </w:r>
      <w:r w:rsidR="00CD2969" w:rsidRPr="00602A80">
        <w:rPr>
          <w:noProof/>
          <w:sz w:val="20"/>
          <w:szCs w:val="20"/>
          <w:lang w:val="nl-NL" w:eastAsia="nl-NL"/>
        </w:rPr>
        <w:drawing>
          <wp:anchor distT="0" distB="0" distL="114300" distR="114300" simplePos="0" relativeHeight="251659264" behindDoc="0" locked="0" layoutInCell="1" allowOverlap="1" wp14:anchorId="0515C18D" wp14:editId="2EAEFF69">
            <wp:simplePos x="0" y="0"/>
            <wp:positionH relativeFrom="margin">
              <wp:posOffset>4340860</wp:posOffset>
            </wp:positionH>
            <wp:positionV relativeFrom="margin">
              <wp:posOffset>-298450</wp:posOffset>
            </wp:positionV>
            <wp:extent cx="1939925" cy="5327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1-10 om 23.00.5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9925" cy="532765"/>
                    </a:xfrm>
                    <a:prstGeom prst="rect">
                      <a:avLst/>
                    </a:prstGeom>
                  </pic:spPr>
                </pic:pic>
              </a:graphicData>
            </a:graphic>
            <wp14:sizeRelH relativeFrom="page">
              <wp14:pctWidth>0</wp14:pctWidth>
            </wp14:sizeRelH>
            <wp14:sizeRelV relativeFrom="page">
              <wp14:pctHeight>0</wp14:pctHeight>
            </wp14:sizeRelV>
          </wp:anchor>
        </w:drawing>
      </w:r>
      <w:r w:rsidR="00FC7977" w:rsidRPr="00602A80">
        <w:rPr>
          <w:noProof/>
          <w:lang w:val="en-US" w:eastAsia="nl-NL"/>
        </w:rPr>
        <w:t>Commmuniqué de presse</w:t>
      </w:r>
    </w:p>
    <w:p w14:paraId="2B064B06" w14:textId="77777777" w:rsidR="00922022" w:rsidRPr="00DE7550" w:rsidRDefault="00922022" w:rsidP="005F33EF">
      <w:pPr>
        <w:spacing w:line="360" w:lineRule="auto"/>
        <w:rPr>
          <w:lang w:val="en-US"/>
        </w:rPr>
      </w:pPr>
    </w:p>
    <w:p w14:paraId="2B79004B" w14:textId="77777777" w:rsidR="00E60D6A" w:rsidRPr="00DE7550" w:rsidRDefault="00E60D6A" w:rsidP="005F33EF">
      <w:pPr>
        <w:spacing w:line="360" w:lineRule="auto"/>
        <w:jc w:val="center"/>
        <w:rPr>
          <w:b/>
          <w:i/>
          <w:sz w:val="32"/>
          <w:szCs w:val="32"/>
          <w:lang w:val="en-US"/>
        </w:rPr>
      </w:pPr>
    </w:p>
    <w:p w14:paraId="7E837509" w14:textId="142DCAAB" w:rsidR="002E029A" w:rsidRPr="003012F3" w:rsidRDefault="002E029A" w:rsidP="005F33EF">
      <w:pPr>
        <w:spacing w:line="360" w:lineRule="auto"/>
        <w:jc w:val="center"/>
        <w:rPr>
          <w:b/>
          <w:i/>
          <w:sz w:val="32"/>
          <w:szCs w:val="32"/>
          <w:lang w:val="fr-FR"/>
        </w:rPr>
      </w:pPr>
      <w:r w:rsidRPr="003012F3">
        <w:rPr>
          <w:b/>
          <w:i/>
          <w:sz w:val="32"/>
          <w:szCs w:val="32"/>
          <w:lang w:val="fr-FR"/>
        </w:rPr>
        <w:t>Les voitures diesel restent en moyenne 10% plus longtemps en stock que les voitures à essence</w:t>
      </w:r>
    </w:p>
    <w:p w14:paraId="04D37C1F" w14:textId="0B942302" w:rsidR="002E029A" w:rsidRPr="003012F3" w:rsidRDefault="002E029A" w:rsidP="003E5C10">
      <w:pPr>
        <w:spacing w:line="360" w:lineRule="auto"/>
        <w:ind w:firstLine="708"/>
        <w:jc w:val="center"/>
        <w:rPr>
          <w:i/>
          <w:color w:val="000000" w:themeColor="text1"/>
          <w:lang w:val="fr-FR"/>
        </w:rPr>
      </w:pPr>
      <w:r w:rsidRPr="003012F3">
        <w:rPr>
          <w:i/>
          <w:color w:val="000000" w:themeColor="text1"/>
          <w:lang w:val="fr-FR"/>
        </w:rPr>
        <w:t>Les commerçants répondent insu</w:t>
      </w:r>
      <w:r w:rsidR="003012F3">
        <w:rPr>
          <w:i/>
          <w:color w:val="000000" w:themeColor="text1"/>
          <w:lang w:val="fr-FR"/>
        </w:rPr>
        <w:t>f</w:t>
      </w:r>
      <w:r w:rsidRPr="003012F3">
        <w:rPr>
          <w:i/>
          <w:color w:val="000000" w:themeColor="text1"/>
          <w:lang w:val="fr-FR"/>
        </w:rPr>
        <w:t>fisamment aux données du marché pour gérer leurs véhicules de façon efficace.</w:t>
      </w:r>
    </w:p>
    <w:p w14:paraId="5BF67225" w14:textId="77777777" w:rsidR="005F33EF" w:rsidRPr="003012F3" w:rsidRDefault="005F33EF" w:rsidP="005F33EF">
      <w:pPr>
        <w:spacing w:line="360" w:lineRule="auto"/>
        <w:rPr>
          <w:sz w:val="20"/>
          <w:szCs w:val="20"/>
          <w:lang w:val="fr-FR"/>
        </w:rPr>
      </w:pPr>
    </w:p>
    <w:p w14:paraId="3619DB33" w14:textId="78A48D21" w:rsidR="002E029A" w:rsidRPr="003012F3" w:rsidRDefault="002E029A" w:rsidP="005F33EF">
      <w:pPr>
        <w:spacing w:line="360" w:lineRule="auto"/>
        <w:rPr>
          <w:b/>
          <w:sz w:val="20"/>
          <w:szCs w:val="20"/>
          <w:lang w:val="fr-FR"/>
        </w:rPr>
      </w:pPr>
      <w:r w:rsidRPr="003012F3">
        <w:rPr>
          <w:sz w:val="20"/>
          <w:szCs w:val="20"/>
          <w:lang w:val="fr-FR"/>
        </w:rPr>
        <w:t>Bruxelles</w:t>
      </w:r>
      <w:r w:rsidR="006432E2" w:rsidRPr="003012F3">
        <w:rPr>
          <w:sz w:val="20"/>
          <w:szCs w:val="20"/>
          <w:lang w:val="fr-FR"/>
        </w:rPr>
        <w:t xml:space="preserve">, </w:t>
      </w:r>
      <w:r w:rsidRPr="003012F3">
        <w:rPr>
          <w:sz w:val="20"/>
          <w:szCs w:val="20"/>
          <w:lang w:val="fr-FR"/>
        </w:rPr>
        <w:t xml:space="preserve">le </w:t>
      </w:r>
      <w:r w:rsidR="00DE7550">
        <w:rPr>
          <w:sz w:val="20"/>
          <w:szCs w:val="20"/>
          <w:lang w:val="fr-FR"/>
        </w:rPr>
        <w:t>20</w:t>
      </w:r>
      <w:r w:rsidR="006432E2" w:rsidRPr="003012F3">
        <w:rPr>
          <w:sz w:val="20"/>
          <w:szCs w:val="20"/>
          <w:lang w:val="fr-FR"/>
        </w:rPr>
        <w:t xml:space="preserve"> </w:t>
      </w:r>
      <w:r w:rsidRPr="003012F3">
        <w:rPr>
          <w:sz w:val="20"/>
          <w:szCs w:val="20"/>
          <w:lang w:val="fr-FR"/>
        </w:rPr>
        <w:t>mars</w:t>
      </w:r>
      <w:r w:rsidR="006432E2" w:rsidRPr="003012F3">
        <w:rPr>
          <w:sz w:val="20"/>
          <w:szCs w:val="20"/>
          <w:lang w:val="fr-FR"/>
        </w:rPr>
        <w:t xml:space="preserve"> 2019 – </w:t>
      </w:r>
      <w:r w:rsidR="008A18C0" w:rsidRPr="003012F3">
        <w:rPr>
          <w:b/>
          <w:sz w:val="20"/>
          <w:szCs w:val="20"/>
          <w:lang w:val="fr-FR"/>
        </w:rPr>
        <w:t xml:space="preserve">INDICATA, </w:t>
      </w:r>
      <w:r w:rsidRPr="003012F3">
        <w:rPr>
          <w:b/>
          <w:sz w:val="20"/>
          <w:szCs w:val="20"/>
          <w:lang w:val="fr-FR"/>
        </w:rPr>
        <w:t xml:space="preserve">partie intégrante du Groupe </w:t>
      </w:r>
      <w:proofErr w:type="spellStart"/>
      <w:r w:rsidRPr="003012F3">
        <w:rPr>
          <w:b/>
          <w:sz w:val="20"/>
          <w:szCs w:val="20"/>
          <w:lang w:val="fr-FR"/>
        </w:rPr>
        <w:t>Autorola</w:t>
      </w:r>
      <w:proofErr w:type="spellEnd"/>
      <w:r w:rsidRPr="003012F3">
        <w:rPr>
          <w:b/>
          <w:sz w:val="20"/>
          <w:szCs w:val="20"/>
          <w:lang w:val="fr-FR"/>
        </w:rPr>
        <w:t xml:space="preserve"> et acteur mondial du </w:t>
      </w:r>
      <w:proofErr w:type="spellStart"/>
      <w:r w:rsidRPr="003012F3">
        <w:rPr>
          <w:b/>
          <w:sz w:val="20"/>
          <w:szCs w:val="20"/>
          <w:lang w:val="fr-FR"/>
        </w:rPr>
        <w:t>remarketing</w:t>
      </w:r>
      <w:proofErr w:type="spellEnd"/>
      <w:r w:rsidRPr="003012F3">
        <w:rPr>
          <w:b/>
          <w:sz w:val="20"/>
          <w:szCs w:val="20"/>
          <w:lang w:val="fr-FR"/>
        </w:rPr>
        <w:t xml:space="preserve"> en ligne</w:t>
      </w:r>
      <w:r w:rsidR="003E5C10" w:rsidRPr="003012F3">
        <w:rPr>
          <w:b/>
          <w:sz w:val="20"/>
          <w:szCs w:val="20"/>
          <w:lang w:val="fr-FR"/>
        </w:rPr>
        <w:t xml:space="preserve"> et des solutions TIC pour le secteur automobile, publie aujourd’hui une nouvelle étude qui confirme d’énormes écarts entre les ventes des voitures de seconde main diesel et à essence. L’étude</w:t>
      </w:r>
      <w:r w:rsidR="009B7FD6">
        <w:rPr>
          <w:rStyle w:val="Voetnootmarkering"/>
          <w:b/>
          <w:sz w:val="20"/>
          <w:szCs w:val="20"/>
          <w:lang w:val="fr-FR"/>
        </w:rPr>
        <w:footnoteReference w:id="1"/>
      </w:r>
      <w:r w:rsidR="003E5C10" w:rsidRPr="003012F3">
        <w:rPr>
          <w:b/>
          <w:sz w:val="20"/>
          <w:szCs w:val="20"/>
          <w:lang w:val="fr-FR"/>
        </w:rPr>
        <w:t xml:space="preserve"> est basée sur des chiffres récents et précis des ventes de voitures de seconde main en Belgique.   </w:t>
      </w:r>
    </w:p>
    <w:p w14:paraId="60DB09E9" w14:textId="77777777" w:rsidR="005F33EF" w:rsidRPr="003012F3" w:rsidRDefault="005F33EF" w:rsidP="005F33EF">
      <w:pPr>
        <w:spacing w:line="360" w:lineRule="auto"/>
        <w:rPr>
          <w:b/>
          <w:sz w:val="20"/>
          <w:szCs w:val="20"/>
          <w:lang w:val="fr-FR"/>
        </w:rPr>
      </w:pPr>
    </w:p>
    <w:p w14:paraId="414512DB" w14:textId="77777777" w:rsidR="003E5C10" w:rsidRPr="003012F3" w:rsidRDefault="003E5C10" w:rsidP="005F33EF">
      <w:pPr>
        <w:spacing w:line="360" w:lineRule="auto"/>
        <w:rPr>
          <w:b/>
          <w:sz w:val="20"/>
          <w:szCs w:val="20"/>
          <w:lang w:val="fr-FR"/>
        </w:rPr>
      </w:pPr>
      <w:r w:rsidRPr="003012F3">
        <w:rPr>
          <w:b/>
          <w:sz w:val="20"/>
          <w:szCs w:val="20"/>
          <w:lang w:val="fr-FR"/>
        </w:rPr>
        <w:t>48,19% des voitures diesel en stock s’y trouvent plus de 3 mois (91+ de journées en stock)</w:t>
      </w:r>
    </w:p>
    <w:p w14:paraId="4E182C40" w14:textId="4593A10F" w:rsidR="00E60D6A" w:rsidRPr="003012F3" w:rsidRDefault="003E5C10" w:rsidP="005F33EF">
      <w:pPr>
        <w:spacing w:line="360" w:lineRule="auto"/>
        <w:rPr>
          <w:sz w:val="20"/>
          <w:szCs w:val="20"/>
          <w:lang w:val="fr-FR"/>
        </w:rPr>
      </w:pPr>
      <w:r w:rsidRPr="003012F3">
        <w:rPr>
          <w:sz w:val="20"/>
          <w:szCs w:val="20"/>
          <w:lang w:val="fr-FR"/>
        </w:rPr>
        <w:t xml:space="preserve">Sur la base de données récentes d’INDICATA (voir note de bas de page) il </w:t>
      </w:r>
      <w:r w:rsidR="008A5860" w:rsidRPr="003012F3">
        <w:rPr>
          <w:sz w:val="20"/>
          <w:szCs w:val="20"/>
          <w:lang w:val="fr-FR"/>
        </w:rPr>
        <w:t>s’avère que la moitié de to</w:t>
      </w:r>
      <w:r w:rsidR="00E82597" w:rsidRPr="003012F3">
        <w:rPr>
          <w:sz w:val="20"/>
          <w:szCs w:val="20"/>
          <w:lang w:val="fr-FR"/>
        </w:rPr>
        <w:t xml:space="preserve">utes les </w:t>
      </w:r>
      <w:proofErr w:type="gramStart"/>
      <w:r w:rsidR="00E82597" w:rsidRPr="003012F3">
        <w:rPr>
          <w:sz w:val="20"/>
          <w:szCs w:val="20"/>
          <w:lang w:val="fr-FR"/>
        </w:rPr>
        <w:t>voitures</w:t>
      </w:r>
      <w:proofErr w:type="gramEnd"/>
      <w:r w:rsidR="00E82597" w:rsidRPr="003012F3">
        <w:rPr>
          <w:sz w:val="20"/>
          <w:szCs w:val="20"/>
          <w:lang w:val="fr-FR"/>
        </w:rPr>
        <w:t xml:space="preserve"> diesel reste</w:t>
      </w:r>
      <w:r w:rsidR="008A5860" w:rsidRPr="003012F3">
        <w:rPr>
          <w:sz w:val="20"/>
          <w:szCs w:val="20"/>
          <w:lang w:val="fr-FR"/>
        </w:rPr>
        <w:t xml:space="preserve"> plus de 3 mois en stock chez les commerçants professionnels. A titre comparatif, 38,92% des voitures à essence restent plus de 3 mois en stock. Une nette différence de presque 10%, nous dit Erwin </w:t>
      </w:r>
      <w:proofErr w:type="spellStart"/>
      <w:r w:rsidR="008A5860" w:rsidRPr="003012F3">
        <w:rPr>
          <w:sz w:val="20"/>
          <w:szCs w:val="20"/>
          <w:lang w:val="fr-FR"/>
        </w:rPr>
        <w:t>Coesens</w:t>
      </w:r>
      <w:proofErr w:type="spellEnd"/>
      <w:r w:rsidR="008A5860" w:rsidRPr="003012F3">
        <w:rPr>
          <w:sz w:val="20"/>
          <w:szCs w:val="20"/>
          <w:lang w:val="fr-FR"/>
        </w:rPr>
        <w:t xml:space="preserve">, Country Manager chez </w:t>
      </w:r>
      <w:proofErr w:type="spellStart"/>
      <w:r w:rsidR="008A5860" w:rsidRPr="003012F3">
        <w:rPr>
          <w:sz w:val="20"/>
          <w:szCs w:val="20"/>
          <w:lang w:val="fr-FR"/>
        </w:rPr>
        <w:t>Autorola</w:t>
      </w:r>
      <w:proofErr w:type="spellEnd"/>
      <w:r w:rsidR="008A5860" w:rsidRPr="003012F3">
        <w:rPr>
          <w:sz w:val="20"/>
          <w:szCs w:val="20"/>
          <w:lang w:val="fr-FR"/>
        </w:rPr>
        <w:t xml:space="preserve"> </w:t>
      </w:r>
      <w:proofErr w:type="spellStart"/>
      <w:r w:rsidR="008A5860" w:rsidRPr="003012F3">
        <w:rPr>
          <w:sz w:val="20"/>
          <w:szCs w:val="20"/>
          <w:lang w:val="fr-FR"/>
        </w:rPr>
        <w:t>Belux</w:t>
      </w:r>
      <w:proofErr w:type="spellEnd"/>
      <w:r w:rsidR="008A5860" w:rsidRPr="003012F3">
        <w:rPr>
          <w:sz w:val="20"/>
          <w:szCs w:val="20"/>
          <w:lang w:val="fr-FR"/>
        </w:rPr>
        <w:t xml:space="preserve">. </w:t>
      </w:r>
    </w:p>
    <w:p w14:paraId="10666FB7" w14:textId="77777777" w:rsidR="005F33EF" w:rsidRPr="003012F3" w:rsidRDefault="005F33EF" w:rsidP="005F33EF">
      <w:pPr>
        <w:spacing w:line="360" w:lineRule="auto"/>
        <w:rPr>
          <w:sz w:val="20"/>
          <w:szCs w:val="20"/>
          <w:lang w:val="fr-FR"/>
        </w:rPr>
      </w:pPr>
    </w:p>
    <w:p w14:paraId="28D7420F" w14:textId="4D0FB687" w:rsidR="00956E17" w:rsidRPr="003012F3" w:rsidRDefault="00F416F7" w:rsidP="005F33EF">
      <w:pPr>
        <w:spacing w:line="360" w:lineRule="auto"/>
        <w:rPr>
          <w:sz w:val="20"/>
          <w:szCs w:val="20"/>
          <w:lang w:val="fr-FR"/>
        </w:rPr>
      </w:pPr>
      <w:r w:rsidRPr="003012F3">
        <w:rPr>
          <w:sz w:val="20"/>
          <w:szCs w:val="20"/>
          <w:lang w:val="fr-FR"/>
        </w:rPr>
        <w:t xml:space="preserve">Si on étend la liste et si INDICATA y ajoute également les </w:t>
      </w:r>
      <w:r w:rsidR="003012F3" w:rsidRPr="003012F3">
        <w:rPr>
          <w:sz w:val="20"/>
          <w:szCs w:val="20"/>
          <w:lang w:val="fr-FR"/>
        </w:rPr>
        <w:t>plus vieilles voitures</w:t>
      </w:r>
      <w:r w:rsidRPr="003012F3">
        <w:rPr>
          <w:sz w:val="20"/>
          <w:szCs w:val="20"/>
          <w:lang w:val="fr-FR"/>
        </w:rPr>
        <w:t xml:space="preserve">, nous constatons que </w:t>
      </w:r>
      <w:r w:rsidR="003012F3" w:rsidRPr="003012F3">
        <w:rPr>
          <w:sz w:val="20"/>
          <w:szCs w:val="20"/>
          <w:lang w:val="fr-FR"/>
        </w:rPr>
        <w:t>beau</w:t>
      </w:r>
      <w:r w:rsidR="003012F3">
        <w:rPr>
          <w:sz w:val="20"/>
          <w:szCs w:val="20"/>
          <w:lang w:val="fr-FR"/>
        </w:rPr>
        <w:t>c</w:t>
      </w:r>
      <w:r w:rsidR="003012F3" w:rsidRPr="003012F3">
        <w:rPr>
          <w:sz w:val="20"/>
          <w:szCs w:val="20"/>
          <w:lang w:val="fr-FR"/>
        </w:rPr>
        <w:t>oup de véhicules</w:t>
      </w:r>
      <w:r w:rsidRPr="003012F3">
        <w:rPr>
          <w:sz w:val="20"/>
          <w:szCs w:val="20"/>
          <w:lang w:val="fr-FR"/>
        </w:rPr>
        <w:t xml:space="preserve"> restent plus de 3 ans (!!!) en stock. “Et on parle toujours de véhicules parfaitement vendables,” ajoute Erwin </w:t>
      </w:r>
      <w:proofErr w:type="spellStart"/>
      <w:r w:rsidRPr="003012F3">
        <w:rPr>
          <w:sz w:val="20"/>
          <w:szCs w:val="20"/>
          <w:lang w:val="fr-FR"/>
        </w:rPr>
        <w:t>Coesens</w:t>
      </w:r>
      <w:proofErr w:type="spellEnd"/>
      <w:r w:rsidRPr="003012F3">
        <w:rPr>
          <w:sz w:val="20"/>
          <w:szCs w:val="20"/>
          <w:lang w:val="fr-FR"/>
        </w:rPr>
        <w:t>, comme une Ford C-Max ayant</w:t>
      </w:r>
      <w:r w:rsidR="003012F3" w:rsidRPr="003012F3">
        <w:rPr>
          <w:sz w:val="20"/>
          <w:szCs w:val="20"/>
          <w:lang w:val="fr-FR"/>
        </w:rPr>
        <w:t xml:space="preserve"> 67.000km sur son compteur. Cet</w:t>
      </w:r>
      <w:r w:rsidRPr="003012F3">
        <w:rPr>
          <w:sz w:val="20"/>
          <w:szCs w:val="20"/>
          <w:lang w:val="fr-FR"/>
        </w:rPr>
        <w:t xml:space="preserve">te voiture fait la course en tête dans la banque de données d’INDICATA avec pas moins de 1.453 jours en stock !” </w:t>
      </w:r>
    </w:p>
    <w:p w14:paraId="3F93A91B" w14:textId="77777777" w:rsidR="005F33EF" w:rsidRPr="003012F3" w:rsidRDefault="005F33EF" w:rsidP="005F33EF">
      <w:pPr>
        <w:spacing w:line="360" w:lineRule="auto"/>
        <w:rPr>
          <w:sz w:val="20"/>
          <w:szCs w:val="20"/>
          <w:lang w:val="fr-FR"/>
        </w:rPr>
      </w:pPr>
    </w:p>
    <w:p w14:paraId="72407EAF" w14:textId="01B739D6" w:rsidR="002F62C2" w:rsidRPr="003012F3" w:rsidRDefault="00DD72FA" w:rsidP="005F33EF">
      <w:pPr>
        <w:spacing w:line="360" w:lineRule="auto"/>
        <w:rPr>
          <w:i/>
          <w:sz w:val="20"/>
          <w:szCs w:val="20"/>
          <w:lang w:val="fr-FR"/>
        </w:rPr>
      </w:pPr>
      <w:r w:rsidRPr="003012F3">
        <w:rPr>
          <w:sz w:val="20"/>
          <w:szCs w:val="20"/>
          <w:lang w:val="fr-FR"/>
        </w:rPr>
        <w:t xml:space="preserve">Erwin </w:t>
      </w:r>
      <w:proofErr w:type="spellStart"/>
      <w:proofErr w:type="gramStart"/>
      <w:r w:rsidRPr="003012F3">
        <w:rPr>
          <w:sz w:val="20"/>
          <w:szCs w:val="20"/>
          <w:lang w:val="fr-FR"/>
        </w:rPr>
        <w:t>Coesens</w:t>
      </w:r>
      <w:proofErr w:type="spellEnd"/>
      <w:r w:rsidRPr="003012F3">
        <w:rPr>
          <w:sz w:val="20"/>
          <w:szCs w:val="20"/>
          <w:lang w:val="fr-FR"/>
        </w:rPr>
        <w:t>:</w:t>
      </w:r>
      <w:proofErr w:type="gramEnd"/>
      <w:r w:rsidRPr="003012F3">
        <w:rPr>
          <w:sz w:val="20"/>
          <w:szCs w:val="20"/>
          <w:lang w:val="fr-FR"/>
        </w:rPr>
        <w:t xml:space="preserve"> </w:t>
      </w:r>
      <w:r w:rsidRPr="003012F3">
        <w:rPr>
          <w:i/>
          <w:sz w:val="20"/>
          <w:szCs w:val="20"/>
          <w:lang w:val="fr-FR"/>
        </w:rPr>
        <w:t>“</w:t>
      </w:r>
      <w:r w:rsidR="002F62C2" w:rsidRPr="003012F3">
        <w:rPr>
          <w:i/>
          <w:sz w:val="20"/>
          <w:szCs w:val="20"/>
          <w:lang w:val="fr-FR"/>
        </w:rPr>
        <w:t xml:space="preserve">Notre mission chez INDICATA est d’analyser minutieusement le marché des véhicules de seconde main sur la base de </w:t>
      </w:r>
      <w:proofErr w:type="spellStart"/>
      <w:r w:rsidR="002F62C2" w:rsidRPr="003012F3">
        <w:rPr>
          <w:i/>
          <w:sz w:val="20"/>
          <w:szCs w:val="20"/>
          <w:lang w:val="fr-FR"/>
        </w:rPr>
        <w:t>big</w:t>
      </w:r>
      <w:proofErr w:type="spellEnd"/>
      <w:r w:rsidR="002F62C2" w:rsidRPr="003012F3">
        <w:rPr>
          <w:i/>
          <w:sz w:val="20"/>
          <w:szCs w:val="20"/>
          <w:lang w:val="fr-FR"/>
        </w:rPr>
        <w:t xml:space="preserve"> data. Ensuite ces données précises sont utilisées de façon efficace pour aider les commerçants professionnels dans leurs activités de vente. </w:t>
      </w:r>
      <w:r w:rsidR="00AE52A1" w:rsidRPr="003012F3">
        <w:rPr>
          <w:i/>
          <w:sz w:val="20"/>
          <w:szCs w:val="20"/>
          <w:lang w:val="fr-FR"/>
        </w:rPr>
        <w:t xml:space="preserve">Mesurer permet de connaître, surtout si les </w:t>
      </w:r>
      <w:proofErr w:type="spellStart"/>
      <w:r w:rsidR="00AE52A1" w:rsidRPr="003012F3">
        <w:rPr>
          <w:i/>
          <w:sz w:val="20"/>
          <w:szCs w:val="20"/>
          <w:lang w:val="fr-FR"/>
        </w:rPr>
        <w:t>big</w:t>
      </w:r>
      <w:proofErr w:type="spellEnd"/>
      <w:r w:rsidR="00AE52A1" w:rsidRPr="003012F3">
        <w:rPr>
          <w:i/>
          <w:sz w:val="20"/>
          <w:szCs w:val="20"/>
          <w:lang w:val="fr-FR"/>
        </w:rPr>
        <w:t xml:space="preserve"> data sont utilisées de façon intelligente pour organiser ou rectifier certaines activités. Nous remarquons par exemple que les commerçants qui ont accès à nos données et qui les utilisent activement, présentent de meilleu</w:t>
      </w:r>
      <w:r w:rsidR="003012F3">
        <w:rPr>
          <w:i/>
          <w:sz w:val="20"/>
          <w:szCs w:val="20"/>
          <w:lang w:val="fr-FR"/>
        </w:rPr>
        <w:t xml:space="preserve">res performances que leurs </w:t>
      </w:r>
      <w:proofErr w:type="spellStart"/>
      <w:r w:rsidR="003012F3">
        <w:rPr>
          <w:i/>
          <w:sz w:val="20"/>
          <w:szCs w:val="20"/>
          <w:lang w:val="fr-FR"/>
        </w:rPr>
        <w:t>concu</w:t>
      </w:r>
      <w:r w:rsidR="00AE52A1" w:rsidRPr="003012F3">
        <w:rPr>
          <w:i/>
          <w:sz w:val="20"/>
          <w:szCs w:val="20"/>
          <w:lang w:val="fr-FR"/>
        </w:rPr>
        <w:t>llègues</w:t>
      </w:r>
      <w:proofErr w:type="spellEnd"/>
      <w:r w:rsidR="00AE52A1" w:rsidRPr="003012F3">
        <w:rPr>
          <w:i/>
          <w:sz w:val="20"/>
          <w:szCs w:val="20"/>
          <w:lang w:val="fr-FR"/>
        </w:rPr>
        <w:t>.”</w:t>
      </w:r>
    </w:p>
    <w:p w14:paraId="78351163" w14:textId="77777777" w:rsidR="00E60D6A" w:rsidRPr="003012F3" w:rsidRDefault="00E60D6A" w:rsidP="005F33EF">
      <w:pPr>
        <w:spacing w:line="360" w:lineRule="auto"/>
        <w:rPr>
          <w:b/>
          <w:sz w:val="20"/>
          <w:szCs w:val="20"/>
          <w:lang w:val="fr-FR"/>
        </w:rPr>
      </w:pPr>
    </w:p>
    <w:p w14:paraId="26E8FD06" w14:textId="5B521535" w:rsidR="005F33EF" w:rsidRPr="003012F3" w:rsidRDefault="006C04EE" w:rsidP="005F33EF">
      <w:pPr>
        <w:spacing w:line="360" w:lineRule="auto"/>
        <w:rPr>
          <w:b/>
          <w:sz w:val="20"/>
          <w:szCs w:val="20"/>
          <w:lang w:val="fr-FR"/>
        </w:rPr>
      </w:pPr>
      <w:r w:rsidRPr="003012F3">
        <w:rPr>
          <w:b/>
          <w:sz w:val="20"/>
          <w:szCs w:val="20"/>
          <w:lang w:val="fr-FR"/>
        </w:rPr>
        <w:t>Répartition des ventes de seconde main par marque</w:t>
      </w:r>
    </w:p>
    <w:p w14:paraId="4BA8BD79" w14:textId="41852AAD" w:rsidR="002A4B53" w:rsidRPr="003012F3" w:rsidRDefault="006C04EE" w:rsidP="005F33EF">
      <w:pPr>
        <w:spacing w:line="360" w:lineRule="auto"/>
        <w:rPr>
          <w:sz w:val="20"/>
          <w:szCs w:val="20"/>
          <w:lang w:val="fr-FR"/>
        </w:rPr>
      </w:pPr>
      <w:r w:rsidRPr="003012F3">
        <w:rPr>
          <w:sz w:val="20"/>
          <w:szCs w:val="20"/>
          <w:lang w:val="fr-FR"/>
        </w:rPr>
        <w:t>Lorsque nous regardons les diff</w:t>
      </w:r>
      <w:r w:rsidR="003012F3" w:rsidRPr="003012F3">
        <w:rPr>
          <w:sz w:val="20"/>
          <w:szCs w:val="20"/>
          <w:lang w:val="fr-FR"/>
        </w:rPr>
        <w:t>érentes marques, nous constatons</w:t>
      </w:r>
      <w:r w:rsidRPr="003012F3">
        <w:rPr>
          <w:sz w:val="20"/>
          <w:szCs w:val="20"/>
          <w:lang w:val="fr-FR"/>
        </w:rPr>
        <w:t xml:space="preserve"> que la Porsche reste le plus longtemps sur le parking parmi les voitures diesel (60,5%) et que la Seat se vend le moins bien parmi les voitures à essence (54,5%). </w:t>
      </w:r>
      <w:r w:rsidR="00EA2537" w:rsidRPr="003012F3">
        <w:rPr>
          <w:sz w:val="20"/>
          <w:szCs w:val="20"/>
          <w:lang w:val="fr-FR"/>
        </w:rPr>
        <w:t xml:space="preserve">Sur la liste des voitures diesel Seat et Ford se partagent la deuxième et la troisième place (57,8%), suivies par Opel (56,1%) et Volkswagen (54%) qui complète le top 5. La liste des voitures à essence est complétée par </w:t>
      </w:r>
      <w:r w:rsidR="003012F3">
        <w:rPr>
          <w:sz w:val="20"/>
          <w:szCs w:val="20"/>
          <w:lang w:val="fr-FR"/>
        </w:rPr>
        <w:t>Porsche (53,8%)</w:t>
      </w:r>
      <w:r w:rsidR="00EA2537" w:rsidRPr="003012F3">
        <w:rPr>
          <w:sz w:val="20"/>
          <w:szCs w:val="20"/>
          <w:lang w:val="fr-FR"/>
        </w:rPr>
        <w:t xml:space="preserve">, Skoda (49,2%), Opel (42,7%) et Volkswagen (40,5%). </w:t>
      </w:r>
    </w:p>
    <w:p w14:paraId="77973FF5" w14:textId="77777777" w:rsidR="0029282B" w:rsidRPr="003012F3" w:rsidRDefault="0029282B" w:rsidP="005F33EF">
      <w:pPr>
        <w:spacing w:line="360" w:lineRule="auto"/>
        <w:rPr>
          <w:sz w:val="20"/>
          <w:szCs w:val="20"/>
          <w:lang w:val="fr-FR"/>
        </w:rPr>
      </w:pPr>
    </w:p>
    <w:tbl>
      <w:tblPr>
        <w:tblStyle w:val="Rastertabel5donker-Accent5"/>
        <w:tblW w:w="9091" w:type="dxa"/>
        <w:tblLook w:val="04A0" w:firstRow="1" w:lastRow="0" w:firstColumn="1" w:lastColumn="0" w:noHBand="0" w:noVBand="1"/>
      </w:tblPr>
      <w:tblGrid>
        <w:gridCol w:w="3029"/>
        <w:gridCol w:w="3031"/>
        <w:gridCol w:w="3031"/>
      </w:tblGrid>
      <w:tr w:rsidR="00D21A3E" w:rsidRPr="003012F3" w14:paraId="103EFDB0" w14:textId="77777777" w:rsidTr="00D21A3E">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3029" w:type="dxa"/>
          </w:tcPr>
          <w:p w14:paraId="23799CB5" w14:textId="6A8A19BF" w:rsidR="00D21A3E" w:rsidRPr="003012F3" w:rsidRDefault="00D21A3E" w:rsidP="0029282B">
            <w:pPr>
              <w:spacing w:line="360" w:lineRule="auto"/>
              <w:jc w:val="center"/>
              <w:rPr>
                <w:rFonts w:ascii="Calibri" w:hAnsi="Calibri" w:cs="Calibri"/>
                <w:sz w:val="16"/>
                <w:szCs w:val="16"/>
                <w:lang w:val="fr-FR"/>
              </w:rPr>
            </w:pPr>
            <w:proofErr w:type="spellStart"/>
            <w:r w:rsidRPr="003012F3">
              <w:rPr>
                <w:rFonts w:ascii="Calibri" w:hAnsi="Calibri" w:cs="Calibri"/>
                <w:sz w:val="16"/>
                <w:szCs w:val="16"/>
                <w:lang w:val="fr-FR"/>
              </w:rPr>
              <w:t>Ranking</w:t>
            </w:r>
            <w:proofErr w:type="spellEnd"/>
            <w:r w:rsidRPr="003012F3">
              <w:rPr>
                <w:rFonts w:ascii="Calibri" w:hAnsi="Calibri" w:cs="Calibri"/>
                <w:sz w:val="16"/>
                <w:szCs w:val="16"/>
                <w:lang w:val="fr-FR"/>
              </w:rPr>
              <w:br/>
              <w:t xml:space="preserve">1-28 </w:t>
            </w:r>
            <w:r w:rsidR="0029282B" w:rsidRPr="003012F3">
              <w:rPr>
                <w:rFonts w:ascii="Calibri" w:hAnsi="Calibri" w:cs="Calibri"/>
                <w:sz w:val="16"/>
                <w:szCs w:val="16"/>
                <w:lang w:val="fr-FR"/>
              </w:rPr>
              <w:t>février</w:t>
            </w:r>
            <w:r w:rsidRPr="003012F3">
              <w:rPr>
                <w:rFonts w:ascii="Calibri" w:hAnsi="Calibri" w:cs="Calibri"/>
                <w:sz w:val="16"/>
                <w:szCs w:val="16"/>
                <w:lang w:val="fr-FR"/>
              </w:rPr>
              <w:t xml:space="preserve"> (</w:t>
            </w:r>
            <w:r w:rsidR="0029282B" w:rsidRPr="003012F3">
              <w:rPr>
                <w:rFonts w:ascii="Calibri" w:hAnsi="Calibri" w:cs="Calibri"/>
                <w:sz w:val="16"/>
                <w:szCs w:val="16"/>
                <w:lang w:val="fr-FR"/>
              </w:rPr>
              <w:t>essence</w:t>
            </w:r>
            <w:r w:rsidRPr="003012F3">
              <w:rPr>
                <w:rFonts w:ascii="Calibri" w:hAnsi="Calibri" w:cs="Calibri"/>
                <w:sz w:val="16"/>
                <w:szCs w:val="16"/>
                <w:lang w:val="fr-FR"/>
              </w:rPr>
              <w:t>)</w:t>
            </w:r>
            <w:r w:rsidRPr="003012F3">
              <w:rPr>
                <w:rFonts w:ascii="Calibri" w:hAnsi="Calibri" w:cs="Calibri"/>
                <w:sz w:val="16"/>
                <w:szCs w:val="16"/>
                <w:lang w:val="fr-FR"/>
              </w:rPr>
              <w:br/>
              <w:t xml:space="preserve">91+ </w:t>
            </w:r>
            <w:r w:rsidR="0029282B" w:rsidRPr="003012F3">
              <w:rPr>
                <w:rFonts w:ascii="Calibri" w:hAnsi="Calibri" w:cs="Calibri"/>
                <w:sz w:val="16"/>
                <w:szCs w:val="16"/>
                <w:lang w:val="fr-FR"/>
              </w:rPr>
              <w:t>jours</w:t>
            </w:r>
            <w:r w:rsidRPr="003012F3">
              <w:rPr>
                <w:rFonts w:ascii="Calibri" w:hAnsi="Calibri" w:cs="Calibri"/>
                <w:sz w:val="16"/>
                <w:szCs w:val="16"/>
                <w:lang w:val="fr-FR"/>
              </w:rPr>
              <w:t xml:space="preserve"> </w:t>
            </w:r>
            <w:r w:rsidR="0029282B" w:rsidRPr="003012F3">
              <w:rPr>
                <w:rFonts w:ascii="Calibri" w:hAnsi="Calibri" w:cs="Calibri"/>
                <w:sz w:val="16"/>
                <w:szCs w:val="16"/>
                <w:lang w:val="fr-FR"/>
              </w:rPr>
              <w:t>en stock</w:t>
            </w:r>
          </w:p>
        </w:tc>
        <w:tc>
          <w:tcPr>
            <w:tcW w:w="3031" w:type="dxa"/>
          </w:tcPr>
          <w:p w14:paraId="0B7D85C0" w14:textId="750C8DD9" w:rsidR="00D21A3E" w:rsidRPr="003012F3" w:rsidRDefault="0029282B" w:rsidP="00D21A3E">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fr-FR"/>
              </w:rPr>
            </w:pPr>
            <w:r w:rsidRPr="003012F3">
              <w:rPr>
                <w:rFonts w:ascii="Calibri" w:hAnsi="Calibri" w:cs="Calibri"/>
                <w:sz w:val="16"/>
                <w:szCs w:val="16"/>
                <w:lang w:val="fr-FR"/>
              </w:rPr>
              <w:t>Voitures de seconde main</w:t>
            </w:r>
            <w:r w:rsidR="00D21A3E" w:rsidRPr="003012F3">
              <w:rPr>
                <w:rFonts w:ascii="Calibri" w:hAnsi="Calibri" w:cs="Calibri"/>
                <w:sz w:val="16"/>
                <w:szCs w:val="16"/>
                <w:lang w:val="fr-FR"/>
              </w:rPr>
              <w:t xml:space="preserve"> (diesel)</w:t>
            </w:r>
          </w:p>
        </w:tc>
        <w:tc>
          <w:tcPr>
            <w:tcW w:w="3031" w:type="dxa"/>
          </w:tcPr>
          <w:p w14:paraId="6980E0DA" w14:textId="535EC085" w:rsidR="00D21A3E" w:rsidRPr="003012F3" w:rsidRDefault="003012F3" w:rsidP="0029282B">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lang w:val="fr-FR"/>
              </w:rPr>
            </w:pPr>
            <w:r>
              <w:rPr>
                <w:rFonts w:ascii="Calibri" w:hAnsi="Calibri" w:cs="Calibri"/>
                <w:sz w:val="16"/>
                <w:szCs w:val="16"/>
                <w:lang w:val="fr-FR"/>
              </w:rPr>
              <w:t>Voitures de sec</w:t>
            </w:r>
            <w:r w:rsidR="0029282B" w:rsidRPr="003012F3">
              <w:rPr>
                <w:rFonts w:ascii="Calibri" w:hAnsi="Calibri" w:cs="Calibri"/>
                <w:sz w:val="16"/>
                <w:szCs w:val="16"/>
                <w:lang w:val="fr-FR"/>
              </w:rPr>
              <w:t>onde main</w:t>
            </w:r>
            <w:r w:rsidR="00D21A3E" w:rsidRPr="003012F3">
              <w:rPr>
                <w:rFonts w:ascii="Calibri" w:hAnsi="Calibri" w:cs="Calibri"/>
                <w:sz w:val="16"/>
                <w:szCs w:val="16"/>
                <w:lang w:val="fr-FR"/>
              </w:rPr>
              <w:t xml:space="preserve"> (</w:t>
            </w:r>
            <w:r w:rsidR="0029282B" w:rsidRPr="003012F3">
              <w:rPr>
                <w:rFonts w:ascii="Calibri" w:hAnsi="Calibri" w:cs="Calibri"/>
                <w:sz w:val="16"/>
                <w:szCs w:val="16"/>
                <w:lang w:val="fr-FR"/>
              </w:rPr>
              <w:t>essence</w:t>
            </w:r>
            <w:r w:rsidR="00D21A3E" w:rsidRPr="003012F3">
              <w:rPr>
                <w:rFonts w:ascii="Calibri" w:hAnsi="Calibri" w:cs="Calibri"/>
                <w:sz w:val="16"/>
                <w:szCs w:val="16"/>
                <w:lang w:val="fr-FR"/>
              </w:rPr>
              <w:t xml:space="preserve">) </w:t>
            </w:r>
            <w:r w:rsidR="00D21A3E" w:rsidRPr="003012F3">
              <w:rPr>
                <w:rFonts w:ascii="Calibri" w:hAnsi="Calibri" w:cs="Calibri"/>
                <w:sz w:val="16"/>
                <w:szCs w:val="16"/>
                <w:lang w:val="fr-FR"/>
              </w:rPr>
              <w:br/>
            </w:r>
          </w:p>
        </w:tc>
      </w:tr>
      <w:tr w:rsidR="00D21A3E" w:rsidRPr="003012F3" w14:paraId="3428B272" w14:textId="77777777" w:rsidTr="00D21A3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029" w:type="dxa"/>
          </w:tcPr>
          <w:p w14:paraId="5B971164" w14:textId="77777777" w:rsidR="00D21A3E" w:rsidRPr="003012F3" w:rsidRDefault="00D21A3E" w:rsidP="005F33EF">
            <w:pPr>
              <w:spacing w:line="360" w:lineRule="auto"/>
              <w:jc w:val="center"/>
              <w:rPr>
                <w:sz w:val="16"/>
                <w:szCs w:val="16"/>
                <w:lang w:val="fr-FR"/>
              </w:rPr>
            </w:pPr>
            <w:r w:rsidRPr="003012F3">
              <w:rPr>
                <w:sz w:val="16"/>
                <w:szCs w:val="16"/>
                <w:lang w:val="fr-FR"/>
              </w:rPr>
              <w:t>1</w:t>
            </w:r>
          </w:p>
        </w:tc>
        <w:tc>
          <w:tcPr>
            <w:tcW w:w="3031" w:type="dxa"/>
          </w:tcPr>
          <w:p w14:paraId="4D831BF8" w14:textId="77777777" w:rsidR="00D21A3E" w:rsidRPr="003012F3" w:rsidRDefault="00D21A3E" w:rsidP="005F33EF">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fr-FR"/>
              </w:rPr>
            </w:pPr>
            <w:r w:rsidRPr="003012F3">
              <w:rPr>
                <w:sz w:val="16"/>
                <w:szCs w:val="16"/>
                <w:lang w:val="fr-FR"/>
              </w:rPr>
              <w:t xml:space="preserve">Porsche </w:t>
            </w:r>
            <w:r w:rsidRPr="003012F3">
              <w:rPr>
                <w:sz w:val="16"/>
                <w:szCs w:val="16"/>
                <w:lang w:val="fr-FR"/>
              </w:rPr>
              <w:br/>
            </w:r>
            <w:r w:rsidR="002A4B53" w:rsidRPr="003012F3">
              <w:rPr>
                <w:sz w:val="16"/>
                <w:szCs w:val="16"/>
                <w:lang w:val="fr-FR"/>
              </w:rPr>
              <w:t>60,5</w:t>
            </w:r>
            <w:r w:rsidRPr="003012F3">
              <w:rPr>
                <w:sz w:val="16"/>
                <w:szCs w:val="16"/>
                <w:lang w:val="fr-FR"/>
              </w:rPr>
              <w:t>%</w:t>
            </w:r>
          </w:p>
        </w:tc>
        <w:tc>
          <w:tcPr>
            <w:tcW w:w="3031" w:type="dxa"/>
          </w:tcPr>
          <w:p w14:paraId="39D4CF7D" w14:textId="77777777" w:rsidR="00D21A3E" w:rsidRPr="003012F3" w:rsidRDefault="002A4B53" w:rsidP="002A4B53">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fr-FR"/>
              </w:rPr>
            </w:pPr>
            <w:r w:rsidRPr="003012F3">
              <w:rPr>
                <w:sz w:val="16"/>
                <w:szCs w:val="16"/>
                <w:lang w:val="fr-FR"/>
              </w:rPr>
              <w:t>Seat</w:t>
            </w:r>
            <w:r w:rsidRPr="003012F3">
              <w:rPr>
                <w:sz w:val="16"/>
                <w:szCs w:val="16"/>
                <w:lang w:val="fr-FR"/>
              </w:rPr>
              <w:br/>
              <w:t>54,5%</w:t>
            </w:r>
          </w:p>
        </w:tc>
      </w:tr>
      <w:tr w:rsidR="00D21A3E" w:rsidRPr="003012F3" w14:paraId="3D5CBA92" w14:textId="77777777" w:rsidTr="00D21A3E">
        <w:trPr>
          <w:trHeight w:val="576"/>
        </w:trPr>
        <w:tc>
          <w:tcPr>
            <w:cnfStyle w:val="001000000000" w:firstRow="0" w:lastRow="0" w:firstColumn="1" w:lastColumn="0" w:oddVBand="0" w:evenVBand="0" w:oddHBand="0" w:evenHBand="0" w:firstRowFirstColumn="0" w:firstRowLastColumn="0" w:lastRowFirstColumn="0" w:lastRowLastColumn="0"/>
            <w:tcW w:w="3029" w:type="dxa"/>
          </w:tcPr>
          <w:p w14:paraId="1852968F" w14:textId="77777777" w:rsidR="00D21A3E" w:rsidRPr="003012F3" w:rsidRDefault="00D21A3E" w:rsidP="005F33EF">
            <w:pPr>
              <w:spacing w:line="360" w:lineRule="auto"/>
              <w:jc w:val="center"/>
              <w:rPr>
                <w:sz w:val="16"/>
                <w:szCs w:val="16"/>
                <w:lang w:val="fr-FR"/>
              </w:rPr>
            </w:pPr>
            <w:r w:rsidRPr="003012F3">
              <w:rPr>
                <w:sz w:val="16"/>
                <w:szCs w:val="16"/>
                <w:lang w:val="fr-FR"/>
              </w:rPr>
              <w:t>2</w:t>
            </w:r>
          </w:p>
        </w:tc>
        <w:tc>
          <w:tcPr>
            <w:tcW w:w="3031" w:type="dxa"/>
          </w:tcPr>
          <w:p w14:paraId="3366A8F1" w14:textId="77777777" w:rsidR="00D21A3E" w:rsidRPr="003012F3" w:rsidRDefault="00D21A3E" w:rsidP="005F33EF">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fr-FR"/>
              </w:rPr>
            </w:pPr>
            <w:r w:rsidRPr="003012F3">
              <w:rPr>
                <w:sz w:val="16"/>
                <w:szCs w:val="16"/>
                <w:lang w:val="fr-FR"/>
              </w:rPr>
              <w:t>Ford/Seat</w:t>
            </w:r>
            <w:r w:rsidRPr="003012F3">
              <w:rPr>
                <w:sz w:val="16"/>
                <w:szCs w:val="16"/>
                <w:lang w:val="fr-FR"/>
              </w:rPr>
              <w:br/>
              <w:t>57,8%</w:t>
            </w:r>
          </w:p>
        </w:tc>
        <w:tc>
          <w:tcPr>
            <w:tcW w:w="3031" w:type="dxa"/>
          </w:tcPr>
          <w:p w14:paraId="046BF9D9" w14:textId="77777777" w:rsidR="00D21A3E" w:rsidRPr="003012F3" w:rsidRDefault="002A4B53" w:rsidP="005F33EF">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fr-FR"/>
              </w:rPr>
            </w:pPr>
            <w:r w:rsidRPr="003012F3">
              <w:rPr>
                <w:sz w:val="16"/>
                <w:szCs w:val="16"/>
                <w:lang w:val="fr-FR"/>
              </w:rPr>
              <w:t>Porsche</w:t>
            </w:r>
            <w:r w:rsidRPr="003012F3">
              <w:rPr>
                <w:sz w:val="16"/>
                <w:szCs w:val="16"/>
                <w:lang w:val="fr-FR"/>
              </w:rPr>
              <w:br/>
              <w:t>53,8%</w:t>
            </w:r>
          </w:p>
        </w:tc>
      </w:tr>
      <w:tr w:rsidR="00D21A3E" w:rsidRPr="003012F3" w14:paraId="514D7D81" w14:textId="77777777" w:rsidTr="00D21A3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29" w:type="dxa"/>
          </w:tcPr>
          <w:p w14:paraId="296E4A7B" w14:textId="77777777" w:rsidR="00D21A3E" w:rsidRPr="003012F3" w:rsidRDefault="00D21A3E" w:rsidP="005F33EF">
            <w:pPr>
              <w:spacing w:line="360" w:lineRule="auto"/>
              <w:jc w:val="center"/>
              <w:rPr>
                <w:sz w:val="16"/>
                <w:szCs w:val="16"/>
                <w:lang w:val="fr-FR"/>
              </w:rPr>
            </w:pPr>
            <w:r w:rsidRPr="003012F3">
              <w:rPr>
                <w:sz w:val="16"/>
                <w:szCs w:val="16"/>
                <w:lang w:val="fr-FR"/>
              </w:rPr>
              <w:t>3</w:t>
            </w:r>
          </w:p>
        </w:tc>
        <w:tc>
          <w:tcPr>
            <w:tcW w:w="3031" w:type="dxa"/>
          </w:tcPr>
          <w:p w14:paraId="072C298D" w14:textId="77777777" w:rsidR="00D21A3E" w:rsidRPr="003012F3" w:rsidRDefault="00D21A3E" w:rsidP="005F33EF">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fr-FR"/>
              </w:rPr>
            </w:pPr>
            <w:r w:rsidRPr="003012F3">
              <w:rPr>
                <w:sz w:val="16"/>
                <w:szCs w:val="16"/>
                <w:lang w:val="fr-FR"/>
              </w:rPr>
              <w:t>Ford/Seat</w:t>
            </w:r>
            <w:r w:rsidRPr="003012F3">
              <w:rPr>
                <w:sz w:val="16"/>
                <w:szCs w:val="16"/>
                <w:lang w:val="fr-FR"/>
              </w:rPr>
              <w:br/>
              <w:t>57,8%</w:t>
            </w:r>
          </w:p>
        </w:tc>
        <w:tc>
          <w:tcPr>
            <w:tcW w:w="3031" w:type="dxa"/>
          </w:tcPr>
          <w:p w14:paraId="4442CA08" w14:textId="77777777" w:rsidR="00D21A3E" w:rsidRPr="003012F3" w:rsidRDefault="002A4B53" w:rsidP="005F33EF">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fr-FR"/>
              </w:rPr>
            </w:pPr>
            <w:r w:rsidRPr="003012F3">
              <w:rPr>
                <w:sz w:val="16"/>
                <w:szCs w:val="16"/>
                <w:lang w:val="fr-FR"/>
              </w:rPr>
              <w:t>Skoda</w:t>
            </w:r>
            <w:r w:rsidR="00D21A3E" w:rsidRPr="003012F3">
              <w:rPr>
                <w:sz w:val="16"/>
                <w:szCs w:val="16"/>
                <w:lang w:val="fr-FR"/>
              </w:rPr>
              <w:br/>
            </w:r>
            <w:r w:rsidRPr="003012F3">
              <w:rPr>
                <w:sz w:val="16"/>
                <w:szCs w:val="16"/>
                <w:lang w:val="fr-FR"/>
              </w:rPr>
              <w:t>49,2</w:t>
            </w:r>
            <w:r w:rsidR="00D21A3E" w:rsidRPr="003012F3">
              <w:rPr>
                <w:sz w:val="16"/>
                <w:szCs w:val="16"/>
                <w:lang w:val="fr-FR"/>
              </w:rPr>
              <w:t>%</w:t>
            </w:r>
          </w:p>
        </w:tc>
      </w:tr>
      <w:tr w:rsidR="00D21A3E" w:rsidRPr="003012F3" w14:paraId="61404D52" w14:textId="77777777" w:rsidTr="00D21A3E">
        <w:trPr>
          <w:trHeight w:val="566"/>
        </w:trPr>
        <w:tc>
          <w:tcPr>
            <w:cnfStyle w:val="001000000000" w:firstRow="0" w:lastRow="0" w:firstColumn="1" w:lastColumn="0" w:oddVBand="0" w:evenVBand="0" w:oddHBand="0" w:evenHBand="0" w:firstRowFirstColumn="0" w:firstRowLastColumn="0" w:lastRowFirstColumn="0" w:lastRowLastColumn="0"/>
            <w:tcW w:w="3029" w:type="dxa"/>
          </w:tcPr>
          <w:p w14:paraId="24D4AD95" w14:textId="77777777" w:rsidR="00D21A3E" w:rsidRPr="003012F3" w:rsidRDefault="00D21A3E" w:rsidP="005F33EF">
            <w:pPr>
              <w:spacing w:line="360" w:lineRule="auto"/>
              <w:jc w:val="center"/>
              <w:rPr>
                <w:sz w:val="16"/>
                <w:szCs w:val="16"/>
                <w:lang w:val="fr-FR"/>
              </w:rPr>
            </w:pPr>
            <w:r w:rsidRPr="003012F3">
              <w:rPr>
                <w:sz w:val="16"/>
                <w:szCs w:val="16"/>
                <w:lang w:val="fr-FR"/>
              </w:rPr>
              <w:t>4</w:t>
            </w:r>
          </w:p>
        </w:tc>
        <w:tc>
          <w:tcPr>
            <w:tcW w:w="3031" w:type="dxa"/>
          </w:tcPr>
          <w:p w14:paraId="0E14004D" w14:textId="77777777" w:rsidR="00D21A3E" w:rsidRPr="003012F3" w:rsidRDefault="00D21A3E" w:rsidP="005F33EF">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fr-FR"/>
              </w:rPr>
            </w:pPr>
            <w:r w:rsidRPr="003012F3">
              <w:rPr>
                <w:sz w:val="16"/>
                <w:szCs w:val="16"/>
                <w:lang w:val="fr-FR"/>
              </w:rPr>
              <w:t>Opel</w:t>
            </w:r>
            <w:r w:rsidRPr="003012F3">
              <w:rPr>
                <w:sz w:val="16"/>
                <w:szCs w:val="16"/>
                <w:lang w:val="fr-FR"/>
              </w:rPr>
              <w:br/>
              <w:t>56,1%</w:t>
            </w:r>
          </w:p>
        </w:tc>
        <w:tc>
          <w:tcPr>
            <w:tcW w:w="3031" w:type="dxa"/>
          </w:tcPr>
          <w:p w14:paraId="305C5547" w14:textId="77777777" w:rsidR="00D21A3E" w:rsidRPr="003012F3" w:rsidRDefault="002A4B53" w:rsidP="005F33EF">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fr-FR"/>
              </w:rPr>
            </w:pPr>
            <w:r w:rsidRPr="003012F3">
              <w:rPr>
                <w:sz w:val="16"/>
                <w:szCs w:val="16"/>
                <w:lang w:val="fr-FR"/>
              </w:rPr>
              <w:t>Opel</w:t>
            </w:r>
            <w:r w:rsidR="00D21A3E" w:rsidRPr="003012F3">
              <w:rPr>
                <w:sz w:val="16"/>
                <w:szCs w:val="16"/>
                <w:lang w:val="fr-FR"/>
              </w:rPr>
              <w:br/>
            </w:r>
            <w:r w:rsidRPr="003012F3">
              <w:rPr>
                <w:sz w:val="16"/>
                <w:szCs w:val="16"/>
                <w:lang w:val="fr-FR"/>
              </w:rPr>
              <w:t>42,7</w:t>
            </w:r>
            <w:r w:rsidR="00D21A3E" w:rsidRPr="003012F3">
              <w:rPr>
                <w:sz w:val="16"/>
                <w:szCs w:val="16"/>
                <w:lang w:val="fr-FR"/>
              </w:rPr>
              <w:t>%</w:t>
            </w:r>
          </w:p>
        </w:tc>
      </w:tr>
      <w:tr w:rsidR="00D21A3E" w:rsidRPr="003012F3" w14:paraId="46182889" w14:textId="77777777" w:rsidTr="00D21A3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029" w:type="dxa"/>
          </w:tcPr>
          <w:p w14:paraId="7AE33C65" w14:textId="77777777" w:rsidR="00D21A3E" w:rsidRPr="003012F3" w:rsidRDefault="00D21A3E" w:rsidP="005F33EF">
            <w:pPr>
              <w:spacing w:line="360" w:lineRule="auto"/>
              <w:jc w:val="center"/>
              <w:rPr>
                <w:sz w:val="16"/>
                <w:szCs w:val="16"/>
                <w:lang w:val="fr-FR"/>
              </w:rPr>
            </w:pPr>
            <w:r w:rsidRPr="003012F3">
              <w:rPr>
                <w:sz w:val="16"/>
                <w:szCs w:val="16"/>
                <w:lang w:val="fr-FR"/>
              </w:rPr>
              <w:t>5</w:t>
            </w:r>
          </w:p>
        </w:tc>
        <w:tc>
          <w:tcPr>
            <w:tcW w:w="3031" w:type="dxa"/>
          </w:tcPr>
          <w:p w14:paraId="7A90E753" w14:textId="77777777" w:rsidR="00D21A3E" w:rsidRPr="003012F3" w:rsidRDefault="00D21A3E" w:rsidP="005F33EF">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fr-FR"/>
              </w:rPr>
            </w:pPr>
            <w:r w:rsidRPr="003012F3">
              <w:rPr>
                <w:sz w:val="16"/>
                <w:szCs w:val="16"/>
                <w:lang w:val="fr-FR"/>
              </w:rPr>
              <w:t>Volkswagen</w:t>
            </w:r>
            <w:r w:rsidRPr="003012F3">
              <w:rPr>
                <w:sz w:val="16"/>
                <w:szCs w:val="16"/>
                <w:lang w:val="fr-FR"/>
              </w:rPr>
              <w:br/>
              <w:t>54%</w:t>
            </w:r>
          </w:p>
        </w:tc>
        <w:tc>
          <w:tcPr>
            <w:tcW w:w="3031" w:type="dxa"/>
          </w:tcPr>
          <w:p w14:paraId="24074614" w14:textId="77777777" w:rsidR="00D21A3E" w:rsidRPr="003012F3" w:rsidRDefault="002A4B53" w:rsidP="005F33EF">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fr-FR"/>
              </w:rPr>
            </w:pPr>
            <w:r w:rsidRPr="003012F3">
              <w:rPr>
                <w:sz w:val="16"/>
                <w:szCs w:val="16"/>
                <w:lang w:val="fr-FR"/>
              </w:rPr>
              <w:t>Volkswagen</w:t>
            </w:r>
            <w:r w:rsidR="00D21A3E" w:rsidRPr="003012F3">
              <w:rPr>
                <w:sz w:val="16"/>
                <w:szCs w:val="16"/>
                <w:lang w:val="fr-FR"/>
              </w:rPr>
              <w:br/>
            </w:r>
            <w:r w:rsidRPr="003012F3">
              <w:rPr>
                <w:sz w:val="16"/>
                <w:szCs w:val="16"/>
                <w:lang w:val="fr-FR"/>
              </w:rPr>
              <w:t>40,</w:t>
            </w:r>
            <w:r w:rsidR="00D21A3E" w:rsidRPr="003012F3">
              <w:rPr>
                <w:sz w:val="16"/>
                <w:szCs w:val="16"/>
                <w:lang w:val="fr-FR"/>
              </w:rPr>
              <w:t>50%</w:t>
            </w:r>
          </w:p>
        </w:tc>
      </w:tr>
    </w:tbl>
    <w:p w14:paraId="27D7DD3F" w14:textId="77777777" w:rsidR="00CD2969" w:rsidRPr="003012F3" w:rsidRDefault="00CD2969" w:rsidP="005F33EF">
      <w:pPr>
        <w:spacing w:line="360" w:lineRule="auto"/>
        <w:rPr>
          <w:sz w:val="20"/>
          <w:szCs w:val="20"/>
          <w:lang w:val="fr-FR"/>
        </w:rPr>
      </w:pPr>
    </w:p>
    <w:p w14:paraId="1F4F8CAF" w14:textId="77777777" w:rsidR="00ED308B" w:rsidRPr="003012F3" w:rsidRDefault="00ED308B" w:rsidP="005F33EF">
      <w:pPr>
        <w:spacing w:line="360" w:lineRule="auto"/>
        <w:rPr>
          <w:b/>
          <w:sz w:val="20"/>
          <w:szCs w:val="20"/>
          <w:lang w:val="fr-FR"/>
        </w:rPr>
      </w:pPr>
    </w:p>
    <w:p w14:paraId="7384D5CC" w14:textId="77777777" w:rsidR="00DE7550" w:rsidRPr="00C640EB" w:rsidRDefault="00DE7550" w:rsidP="00DE7550">
      <w:pPr>
        <w:spacing w:after="200" w:line="360" w:lineRule="auto"/>
        <w:rPr>
          <w:sz w:val="20"/>
          <w:szCs w:val="20"/>
          <w:lang w:val="fr-FR"/>
        </w:rPr>
      </w:pPr>
      <w:r w:rsidRPr="00C640EB">
        <w:rPr>
          <w:b/>
          <w:sz w:val="20"/>
          <w:szCs w:val="20"/>
          <w:lang w:val="fr-FR"/>
        </w:rPr>
        <w:t>À propos d’INDICATA</w:t>
      </w:r>
      <w:r w:rsidRPr="00C640EB">
        <w:rPr>
          <w:b/>
          <w:sz w:val="20"/>
          <w:szCs w:val="20"/>
          <w:lang w:val="fr-FR"/>
        </w:rPr>
        <w:br/>
      </w:r>
      <w:proofErr w:type="spellStart"/>
      <w:r w:rsidRPr="00C640EB">
        <w:rPr>
          <w:sz w:val="20"/>
          <w:szCs w:val="20"/>
          <w:lang w:val="fr-FR"/>
        </w:rPr>
        <w:t>INDICATA</w:t>
      </w:r>
      <w:proofErr w:type="spellEnd"/>
      <w:r w:rsidRPr="00C640EB">
        <w:rPr>
          <w:sz w:val="20"/>
          <w:szCs w:val="20"/>
          <w:lang w:val="fr-FR"/>
        </w:rPr>
        <w:t xml:space="preserve"> fait partie du groupe </w:t>
      </w:r>
      <w:proofErr w:type="spellStart"/>
      <w:r w:rsidRPr="00C640EB">
        <w:rPr>
          <w:sz w:val="20"/>
          <w:szCs w:val="20"/>
          <w:lang w:val="fr-FR"/>
        </w:rPr>
        <w:t>Autorola</w:t>
      </w:r>
      <w:proofErr w:type="spellEnd"/>
      <w:r w:rsidRPr="00C640EB">
        <w:rPr>
          <w:sz w:val="20"/>
          <w:szCs w:val="20"/>
          <w:lang w:val="fr-FR"/>
        </w:rPr>
        <w:t xml:space="preserve">, acteur mondial du </w:t>
      </w:r>
      <w:proofErr w:type="spellStart"/>
      <w:r w:rsidRPr="00C640EB">
        <w:rPr>
          <w:sz w:val="20"/>
          <w:szCs w:val="20"/>
          <w:lang w:val="fr-FR"/>
        </w:rPr>
        <w:t>remarketing</w:t>
      </w:r>
      <w:proofErr w:type="spellEnd"/>
      <w:r w:rsidRPr="00C640EB">
        <w:rPr>
          <w:sz w:val="20"/>
          <w:szCs w:val="20"/>
          <w:lang w:val="fr-FR"/>
        </w:rPr>
        <w:t xml:space="preserve"> en ligne et des solutions TIC pour le secteur automobile. INDICATA est la solution en temps réel qui recueille, traite et analyse des données en direct des voitures de secondes main mises en vente en ligne et dans le circuit professionnel, avec l’objectif d’avoir une meilleure compréhension du marché. Ainsi ils offrent une solution unique pour améliorer la rentabilité des différentes transactions des voitures de seconde m</w:t>
      </w:r>
      <w:r>
        <w:rPr>
          <w:sz w:val="20"/>
          <w:szCs w:val="20"/>
          <w:lang w:val="fr-FR"/>
        </w:rPr>
        <w:t>ain et pour protéger les valeur</w:t>
      </w:r>
      <w:r w:rsidRPr="00C640EB">
        <w:rPr>
          <w:sz w:val="20"/>
          <w:szCs w:val="20"/>
          <w:lang w:val="fr-FR"/>
        </w:rPr>
        <w:t>s résiduelles dans l’industrie automobile et les secteurs dérivés. Le tableau de bord d’INDICATA sur le web offre des KPI en temps réel, des rapports et des analyses grâce auxquels les fabricants, les import</w:t>
      </w:r>
      <w:r>
        <w:rPr>
          <w:sz w:val="20"/>
          <w:szCs w:val="20"/>
          <w:lang w:val="fr-FR"/>
        </w:rPr>
        <w:t>at</w:t>
      </w:r>
      <w:r w:rsidRPr="00C640EB">
        <w:rPr>
          <w:sz w:val="20"/>
          <w:szCs w:val="20"/>
          <w:lang w:val="fr-FR"/>
        </w:rPr>
        <w:t xml:space="preserve">eurs, les concessionnaires, les propriétaires de flotte, les banques, les compagnies d’assurance, etc. peuvent optimiser leur position sur le marché. </w:t>
      </w:r>
    </w:p>
    <w:p w14:paraId="4A0AF57C" w14:textId="77777777" w:rsidR="00DE7550" w:rsidRPr="00751B5D" w:rsidRDefault="00DE7550" w:rsidP="00DE7550">
      <w:pPr>
        <w:spacing w:after="200" w:line="360" w:lineRule="auto"/>
        <w:rPr>
          <w:sz w:val="20"/>
          <w:szCs w:val="20"/>
          <w:lang w:val="fr-FR"/>
        </w:rPr>
      </w:pPr>
      <w:r w:rsidRPr="00751B5D">
        <w:rPr>
          <w:b/>
          <w:sz w:val="20"/>
          <w:szCs w:val="20"/>
          <w:lang w:val="fr-FR"/>
        </w:rPr>
        <w:t xml:space="preserve">À propos du GROUPE AUTOROLA </w:t>
      </w:r>
      <w:r w:rsidRPr="00751B5D">
        <w:rPr>
          <w:b/>
          <w:sz w:val="20"/>
          <w:szCs w:val="20"/>
          <w:lang w:val="fr-FR"/>
        </w:rPr>
        <w:br/>
      </w:r>
      <w:r w:rsidRPr="00751B5D">
        <w:rPr>
          <w:sz w:val="20"/>
          <w:szCs w:val="20"/>
          <w:lang w:val="fr-FR"/>
        </w:rPr>
        <w:t xml:space="preserve">Le GROUPE AUTOROLA est un acteur mondial du </w:t>
      </w:r>
      <w:proofErr w:type="spellStart"/>
      <w:r w:rsidRPr="00751B5D">
        <w:rPr>
          <w:sz w:val="20"/>
          <w:szCs w:val="20"/>
          <w:lang w:val="fr-FR"/>
        </w:rPr>
        <w:t>remarketing</w:t>
      </w:r>
      <w:proofErr w:type="spellEnd"/>
      <w:r w:rsidRPr="00751B5D">
        <w:rPr>
          <w:sz w:val="20"/>
          <w:szCs w:val="20"/>
          <w:lang w:val="fr-FR"/>
        </w:rPr>
        <w:t xml:space="preserve"> en ligne et de solutions TI </w:t>
      </w:r>
      <w:proofErr w:type="spellStart"/>
      <w:r w:rsidRPr="00751B5D">
        <w:rPr>
          <w:sz w:val="20"/>
          <w:szCs w:val="20"/>
          <w:lang w:val="fr-FR"/>
        </w:rPr>
        <w:t>automotive</w:t>
      </w:r>
      <w:proofErr w:type="spellEnd"/>
      <w:r w:rsidRPr="00751B5D">
        <w:rPr>
          <w:sz w:val="20"/>
          <w:szCs w:val="20"/>
          <w:lang w:val="fr-FR"/>
        </w:rPr>
        <w:t xml:space="preserve"> pour la gestion professionnelle du parc de véhicules. Le siège est situé au Danemark, l’entreprise emploie environ 350 travailleurs et </w:t>
      </w:r>
      <w:r>
        <w:rPr>
          <w:sz w:val="20"/>
          <w:szCs w:val="20"/>
          <w:lang w:val="fr-FR"/>
        </w:rPr>
        <w:t>a des sites</w:t>
      </w:r>
      <w:r w:rsidRPr="00751B5D">
        <w:rPr>
          <w:sz w:val="20"/>
          <w:szCs w:val="20"/>
          <w:lang w:val="fr-FR"/>
        </w:rPr>
        <w:t xml:space="preserve"> dans 17 pays en Europe, Amérique du Nord, Amérique latine et Asie-Pacifique. </w:t>
      </w:r>
    </w:p>
    <w:p w14:paraId="217871FC" w14:textId="77777777" w:rsidR="00DE7550" w:rsidRPr="00DE7550" w:rsidRDefault="00DE7550" w:rsidP="00DE7550">
      <w:pPr>
        <w:spacing w:line="360" w:lineRule="auto"/>
        <w:rPr>
          <w:rFonts w:ascii="Calibri" w:eastAsia="Times New Roman" w:hAnsi="Calibri" w:cs="Times New Roman"/>
          <w:lang w:val="en-US" w:eastAsia="nl-NL"/>
        </w:rPr>
      </w:pPr>
      <w:proofErr w:type="spellStart"/>
      <w:r w:rsidRPr="00DE7550">
        <w:rPr>
          <w:b/>
          <w:sz w:val="20"/>
          <w:szCs w:val="20"/>
          <w:lang w:val="en-US"/>
        </w:rPr>
        <w:t>Informations</w:t>
      </w:r>
      <w:proofErr w:type="spellEnd"/>
      <w:r w:rsidRPr="00DE7550">
        <w:rPr>
          <w:b/>
          <w:sz w:val="20"/>
          <w:szCs w:val="20"/>
          <w:lang w:val="en-US"/>
        </w:rPr>
        <w:t xml:space="preserve"> pour la </w:t>
      </w:r>
      <w:proofErr w:type="spellStart"/>
      <w:r w:rsidRPr="00DE7550">
        <w:rPr>
          <w:b/>
          <w:sz w:val="20"/>
          <w:szCs w:val="20"/>
          <w:lang w:val="en-US"/>
        </w:rPr>
        <w:t>presse</w:t>
      </w:r>
      <w:proofErr w:type="spellEnd"/>
      <w:r w:rsidRPr="00DE7550">
        <w:rPr>
          <w:b/>
          <w:sz w:val="20"/>
          <w:szCs w:val="20"/>
          <w:lang w:val="en-US"/>
        </w:rPr>
        <w:br/>
      </w:r>
      <w:proofErr w:type="spellStart"/>
      <w:r w:rsidRPr="00DE7550">
        <w:rPr>
          <w:rFonts w:ascii="Calibri" w:hAnsi="Calibri"/>
          <w:sz w:val="20"/>
          <w:szCs w:val="20"/>
          <w:lang w:val="en-US"/>
        </w:rPr>
        <w:t>Autorola</w:t>
      </w:r>
      <w:proofErr w:type="spellEnd"/>
      <w:r w:rsidRPr="00DE7550">
        <w:rPr>
          <w:rFonts w:ascii="Calibri" w:hAnsi="Calibri"/>
          <w:sz w:val="20"/>
          <w:szCs w:val="20"/>
          <w:lang w:val="en-US"/>
        </w:rPr>
        <w:t xml:space="preserve">, Erwin </w:t>
      </w:r>
      <w:proofErr w:type="spellStart"/>
      <w:r w:rsidRPr="00DE7550">
        <w:rPr>
          <w:rFonts w:ascii="Calibri" w:hAnsi="Calibri"/>
          <w:sz w:val="20"/>
          <w:szCs w:val="20"/>
          <w:lang w:val="en-US"/>
        </w:rPr>
        <w:t>Coesens</w:t>
      </w:r>
      <w:proofErr w:type="spellEnd"/>
      <w:r w:rsidRPr="00DE7550">
        <w:rPr>
          <w:rFonts w:ascii="Calibri" w:hAnsi="Calibri"/>
          <w:sz w:val="20"/>
          <w:szCs w:val="20"/>
          <w:lang w:val="en-US"/>
        </w:rPr>
        <w:t xml:space="preserve">, Country Manager, </w:t>
      </w:r>
      <w:hyperlink r:id="rId10" w:history="1">
        <w:r w:rsidRPr="00DE7550">
          <w:rPr>
            <w:rStyle w:val="Hyperlink"/>
            <w:rFonts w:ascii="Calibri" w:hAnsi="Calibri"/>
            <w:sz w:val="20"/>
            <w:szCs w:val="20"/>
            <w:lang w:val="en-US"/>
          </w:rPr>
          <w:t>erc@autorola.be</w:t>
        </w:r>
      </w:hyperlink>
      <w:r w:rsidRPr="00DE7550">
        <w:rPr>
          <w:rFonts w:ascii="Calibri" w:hAnsi="Calibri"/>
          <w:sz w:val="20"/>
          <w:szCs w:val="20"/>
          <w:lang w:val="en-US"/>
        </w:rPr>
        <w:t>, GSM 0</w:t>
      </w:r>
      <w:r w:rsidRPr="00DE7550">
        <w:rPr>
          <w:rFonts w:ascii="Calibri" w:eastAsia="Times New Roman" w:hAnsi="Calibri" w:cs="Arial"/>
          <w:color w:val="333333"/>
          <w:sz w:val="20"/>
          <w:szCs w:val="20"/>
          <w:shd w:val="clear" w:color="auto" w:fill="FFFFFF"/>
          <w:lang w:val="en-US" w:eastAsia="nl-NL"/>
        </w:rPr>
        <w:t>475 95 96 00</w:t>
      </w:r>
    </w:p>
    <w:p w14:paraId="114C32E5" w14:textId="428DD1E1" w:rsidR="007D7B71" w:rsidRPr="00DE7550" w:rsidRDefault="00DE7550" w:rsidP="009B7FD6">
      <w:pPr>
        <w:spacing w:after="200" w:line="360" w:lineRule="auto"/>
        <w:rPr>
          <w:sz w:val="20"/>
          <w:szCs w:val="20"/>
          <w:lang w:val="en-US"/>
        </w:rPr>
      </w:pPr>
      <w:r w:rsidRPr="00DE7550">
        <w:rPr>
          <w:sz w:val="20"/>
          <w:szCs w:val="20"/>
          <w:lang w:val="en-US"/>
        </w:rPr>
        <w:t xml:space="preserve">Sandra Van Hauwaert, Square Egg Communications, </w:t>
      </w:r>
      <w:hyperlink r:id="rId11" w:history="1">
        <w:r w:rsidRPr="00DE7550">
          <w:rPr>
            <w:rStyle w:val="Hyperlink"/>
            <w:sz w:val="20"/>
            <w:szCs w:val="20"/>
            <w:lang w:val="en-US"/>
          </w:rPr>
          <w:t>sandra@square-egg.be</w:t>
        </w:r>
      </w:hyperlink>
      <w:r w:rsidRPr="00DE7550">
        <w:rPr>
          <w:sz w:val="20"/>
          <w:szCs w:val="20"/>
          <w:lang w:val="en-US"/>
        </w:rPr>
        <w:t>, GSM 0497 251816.</w:t>
      </w:r>
      <w:bookmarkStart w:id="0" w:name="_GoBack"/>
      <w:bookmarkEnd w:id="0"/>
    </w:p>
    <w:sectPr w:rsidR="007D7B71" w:rsidRPr="00DE7550" w:rsidSect="00CD2969">
      <w:pgSz w:w="11900" w:h="16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B01E" w14:textId="77777777" w:rsidR="005A295F" w:rsidRDefault="005A295F" w:rsidP="004D4946">
      <w:r>
        <w:separator/>
      </w:r>
    </w:p>
  </w:endnote>
  <w:endnote w:type="continuationSeparator" w:id="0">
    <w:p w14:paraId="17616B6E" w14:textId="77777777" w:rsidR="005A295F" w:rsidRDefault="005A295F" w:rsidP="004D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C7D28" w14:textId="77777777" w:rsidR="005A295F" w:rsidRDefault="005A295F" w:rsidP="004D4946">
      <w:r>
        <w:separator/>
      </w:r>
    </w:p>
  </w:footnote>
  <w:footnote w:type="continuationSeparator" w:id="0">
    <w:p w14:paraId="6B0E7342" w14:textId="77777777" w:rsidR="005A295F" w:rsidRDefault="005A295F" w:rsidP="004D4946">
      <w:r>
        <w:continuationSeparator/>
      </w:r>
    </w:p>
  </w:footnote>
  <w:footnote w:id="1">
    <w:p w14:paraId="6F8F3E38" w14:textId="77777777" w:rsidR="009B7FD6" w:rsidRPr="009B7FD6" w:rsidRDefault="009B7FD6" w:rsidP="009B7FD6">
      <w:pPr>
        <w:pStyle w:val="Voetnoottekst"/>
        <w:spacing w:line="360" w:lineRule="auto"/>
        <w:rPr>
          <w:sz w:val="18"/>
          <w:szCs w:val="18"/>
          <w:lang w:val="en-US"/>
        </w:rPr>
      </w:pPr>
      <w:r w:rsidRPr="009B7FD6">
        <w:rPr>
          <w:rStyle w:val="Voetnootmarkering"/>
          <w:sz w:val="18"/>
          <w:szCs w:val="18"/>
        </w:rPr>
        <w:footnoteRef/>
      </w:r>
      <w:r w:rsidRPr="009B7FD6">
        <w:rPr>
          <w:sz w:val="18"/>
          <w:szCs w:val="18"/>
          <w:lang w:val="en-US"/>
        </w:rPr>
        <w:t xml:space="preserve"> </w:t>
      </w:r>
      <w:r w:rsidRPr="009B7FD6">
        <w:rPr>
          <w:sz w:val="18"/>
          <w:szCs w:val="18"/>
          <w:lang w:val="en-US"/>
        </w:rPr>
        <w:t xml:space="preserve">Les </w:t>
      </w:r>
      <w:proofErr w:type="spellStart"/>
      <w:r w:rsidRPr="009B7FD6">
        <w:rPr>
          <w:sz w:val="18"/>
          <w:szCs w:val="18"/>
          <w:lang w:val="en-US"/>
        </w:rPr>
        <w:t>critères</w:t>
      </w:r>
      <w:proofErr w:type="spellEnd"/>
      <w:r w:rsidRPr="009B7FD6">
        <w:rPr>
          <w:sz w:val="18"/>
          <w:szCs w:val="18"/>
          <w:lang w:val="en-US"/>
        </w:rPr>
        <w:t xml:space="preserve"> </w:t>
      </w:r>
      <w:proofErr w:type="spellStart"/>
      <w:r w:rsidRPr="009B7FD6">
        <w:rPr>
          <w:sz w:val="18"/>
          <w:szCs w:val="18"/>
          <w:lang w:val="en-US"/>
        </w:rPr>
        <w:t>suivants</w:t>
      </w:r>
      <w:proofErr w:type="spellEnd"/>
      <w:r w:rsidRPr="009B7FD6">
        <w:rPr>
          <w:sz w:val="18"/>
          <w:szCs w:val="18"/>
          <w:lang w:val="en-US"/>
        </w:rPr>
        <w:t xml:space="preserve"> </w:t>
      </w:r>
      <w:proofErr w:type="spellStart"/>
      <w:r w:rsidRPr="009B7FD6">
        <w:rPr>
          <w:sz w:val="18"/>
          <w:szCs w:val="18"/>
          <w:lang w:val="en-US"/>
        </w:rPr>
        <w:t>servent</w:t>
      </w:r>
      <w:proofErr w:type="spellEnd"/>
      <w:r w:rsidRPr="009B7FD6">
        <w:rPr>
          <w:sz w:val="18"/>
          <w:szCs w:val="18"/>
          <w:lang w:val="en-US"/>
        </w:rPr>
        <w:t xml:space="preserve"> de base aux </w:t>
      </w:r>
      <w:proofErr w:type="spellStart"/>
      <w:r w:rsidRPr="009B7FD6">
        <w:rPr>
          <w:sz w:val="18"/>
          <w:szCs w:val="18"/>
          <w:lang w:val="en-US"/>
        </w:rPr>
        <w:t>chiffres</w:t>
      </w:r>
      <w:proofErr w:type="spellEnd"/>
      <w:r w:rsidRPr="009B7FD6">
        <w:rPr>
          <w:sz w:val="18"/>
          <w:szCs w:val="18"/>
          <w:lang w:val="en-US"/>
        </w:rPr>
        <w:t xml:space="preserve"> de la nouvelle étude:</w:t>
      </w:r>
    </w:p>
    <w:p w14:paraId="6552CE5F" w14:textId="77777777" w:rsidR="009B7FD6" w:rsidRPr="009B7FD6" w:rsidRDefault="009B7FD6" w:rsidP="009B7FD6">
      <w:pPr>
        <w:pStyle w:val="Voetnoottekst"/>
        <w:spacing w:line="360" w:lineRule="auto"/>
        <w:rPr>
          <w:sz w:val="18"/>
          <w:szCs w:val="18"/>
          <w:lang w:val="en-US"/>
        </w:rPr>
      </w:pPr>
      <w:r w:rsidRPr="009B7FD6">
        <w:rPr>
          <w:sz w:val="18"/>
          <w:szCs w:val="18"/>
          <w:lang w:val="en-US"/>
        </w:rPr>
        <w:t xml:space="preserve">- Top 20 des marques les plus </w:t>
      </w:r>
      <w:proofErr w:type="spellStart"/>
      <w:r w:rsidRPr="009B7FD6">
        <w:rPr>
          <w:sz w:val="18"/>
          <w:szCs w:val="18"/>
          <w:lang w:val="en-US"/>
        </w:rPr>
        <w:t>populaires</w:t>
      </w:r>
      <w:proofErr w:type="spellEnd"/>
    </w:p>
    <w:p w14:paraId="34C3FF3C" w14:textId="77777777" w:rsidR="009B7FD6" w:rsidRPr="009B7FD6" w:rsidRDefault="009B7FD6" w:rsidP="009B7FD6">
      <w:pPr>
        <w:pStyle w:val="Voetnoottekst"/>
        <w:spacing w:line="360" w:lineRule="auto"/>
        <w:rPr>
          <w:sz w:val="18"/>
          <w:szCs w:val="18"/>
          <w:lang w:val="en-US"/>
        </w:rPr>
      </w:pPr>
      <w:r w:rsidRPr="009B7FD6">
        <w:rPr>
          <w:sz w:val="18"/>
          <w:szCs w:val="18"/>
          <w:lang w:val="en-US"/>
        </w:rPr>
        <w:t xml:space="preserve">- </w:t>
      </w:r>
      <w:proofErr w:type="spellStart"/>
      <w:r w:rsidRPr="009B7FD6">
        <w:rPr>
          <w:sz w:val="18"/>
          <w:szCs w:val="18"/>
          <w:lang w:val="en-US"/>
        </w:rPr>
        <w:t>Véhicules</w:t>
      </w:r>
      <w:proofErr w:type="spellEnd"/>
      <w:r w:rsidRPr="009B7FD6">
        <w:rPr>
          <w:sz w:val="18"/>
          <w:szCs w:val="18"/>
          <w:lang w:val="en-US"/>
        </w:rPr>
        <w:t xml:space="preserve"> de 6 à 60 </w:t>
      </w:r>
      <w:proofErr w:type="spellStart"/>
      <w:r w:rsidRPr="009B7FD6">
        <w:rPr>
          <w:sz w:val="18"/>
          <w:szCs w:val="18"/>
          <w:lang w:val="en-US"/>
        </w:rPr>
        <w:t>mois</w:t>
      </w:r>
      <w:proofErr w:type="spellEnd"/>
    </w:p>
    <w:p w14:paraId="5E2369C7" w14:textId="77777777" w:rsidR="009B7FD6" w:rsidRPr="009B7FD6" w:rsidRDefault="009B7FD6" w:rsidP="009B7FD6">
      <w:pPr>
        <w:pStyle w:val="Voetnoottekst"/>
        <w:spacing w:line="360" w:lineRule="auto"/>
        <w:rPr>
          <w:sz w:val="18"/>
          <w:szCs w:val="18"/>
          <w:lang w:val="en-US"/>
        </w:rPr>
      </w:pPr>
      <w:r w:rsidRPr="009B7FD6">
        <w:rPr>
          <w:sz w:val="18"/>
          <w:szCs w:val="18"/>
          <w:lang w:val="en-US"/>
        </w:rPr>
        <w:t>- Minimum 5000 km</w:t>
      </w:r>
    </w:p>
    <w:p w14:paraId="0F9DCDFD" w14:textId="77777777" w:rsidR="009B7FD6" w:rsidRPr="009B7FD6" w:rsidRDefault="009B7FD6" w:rsidP="009B7FD6">
      <w:pPr>
        <w:pStyle w:val="Voetnoottekst"/>
        <w:spacing w:line="360" w:lineRule="auto"/>
        <w:rPr>
          <w:sz w:val="18"/>
          <w:szCs w:val="18"/>
          <w:lang w:val="en-US"/>
        </w:rPr>
      </w:pPr>
      <w:r w:rsidRPr="009B7FD6">
        <w:rPr>
          <w:sz w:val="18"/>
          <w:szCs w:val="18"/>
          <w:lang w:val="en-US"/>
        </w:rPr>
        <w:t xml:space="preserve">- </w:t>
      </w:r>
      <w:proofErr w:type="spellStart"/>
      <w:r w:rsidRPr="009B7FD6">
        <w:rPr>
          <w:sz w:val="18"/>
          <w:szCs w:val="18"/>
          <w:lang w:val="en-US"/>
        </w:rPr>
        <w:t>Vente</w:t>
      </w:r>
      <w:proofErr w:type="spellEnd"/>
      <w:r w:rsidRPr="009B7FD6">
        <w:rPr>
          <w:sz w:val="18"/>
          <w:szCs w:val="18"/>
          <w:lang w:val="en-US"/>
        </w:rPr>
        <w:t xml:space="preserve"> </w:t>
      </w:r>
      <w:proofErr w:type="spellStart"/>
      <w:r w:rsidRPr="009B7FD6">
        <w:rPr>
          <w:sz w:val="18"/>
          <w:szCs w:val="18"/>
          <w:lang w:val="en-US"/>
        </w:rPr>
        <w:t>en</w:t>
      </w:r>
      <w:proofErr w:type="spellEnd"/>
      <w:r w:rsidRPr="009B7FD6">
        <w:rPr>
          <w:sz w:val="18"/>
          <w:szCs w:val="18"/>
          <w:lang w:val="en-US"/>
        </w:rPr>
        <w:t xml:space="preserve"> </w:t>
      </w:r>
      <w:proofErr w:type="spellStart"/>
      <w:r w:rsidRPr="009B7FD6">
        <w:rPr>
          <w:sz w:val="18"/>
          <w:szCs w:val="18"/>
          <w:lang w:val="en-US"/>
        </w:rPr>
        <w:t>ligne</w:t>
      </w:r>
      <w:proofErr w:type="spellEnd"/>
      <w:r w:rsidRPr="009B7FD6">
        <w:rPr>
          <w:sz w:val="18"/>
          <w:szCs w:val="18"/>
          <w:lang w:val="en-US"/>
        </w:rPr>
        <w:t xml:space="preserve"> chez les </w:t>
      </w:r>
      <w:proofErr w:type="spellStart"/>
      <w:r w:rsidRPr="009B7FD6">
        <w:rPr>
          <w:sz w:val="18"/>
          <w:szCs w:val="18"/>
          <w:lang w:val="en-US"/>
        </w:rPr>
        <w:t>concessionnaires</w:t>
      </w:r>
      <w:proofErr w:type="spellEnd"/>
      <w:r w:rsidRPr="009B7FD6">
        <w:rPr>
          <w:sz w:val="18"/>
          <w:szCs w:val="18"/>
          <w:lang w:val="en-US"/>
        </w:rPr>
        <w:t xml:space="preserve"> et les </w:t>
      </w:r>
      <w:proofErr w:type="spellStart"/>
      <w:r w:rsidRPr="009B7FD6">
        <w:rPr>
          <w:sz w:val="18"/>
          <w:szCs w:val="18"/>
          <w:lang w:val="en-US"/>
        </w:rPr>
        <w:t>commerçants</w:t>
      </w:r>
      <w:proofErr w:type="spellEnd"/>
      <w:r w:rsidRPr="009B7FD6">
        <w:rPr>
          <w:sz w:val="18"/>
          <w:szCs w:val="18"/>
          <w:lang w:val="en-US"/>
        </w:rPr>
        <w:t xml:space="preserve"> </w:t>
      </w:r>
      <w:proofErr w:type="spellStart"/>
      <w:r w:rsidRPr="009B7FD6">
        <w:rPr>
          <w:sz w:val="18"/>
          <w:szCs w:val="18"/>
          <w:lang w:val="en-US"/>
        </w:rPr>
        <w:t>professionnels</w:t>
      </w:r>
      <w:proofErr w:type="spellEnd"/>
      <w:r w:rsidRPr="009B7FD6">
        <w:rPr>
          <w:sz w:val="18"/>
          <w:szCs w:val="18"/>
          <w:lang w:val="en-US"/>
        </w:rPr>
        <w:t xml:space="preserve"> </w:t>
      </w:r>
      <w:proofErr w:type="spellStart"/>
      <w:r w:rsidRPr="009B7FD6">
        <w:rPr>
          <w:sz w:val="18"/>
          <w:szCs w:val="18"/>
          <w:lang w:val="en-US"/>
        </w:rPr>
        <w:t>reconnus</w:t>
      </w:r>
      <w:proofErr w:type="spellEnd"/>
    </w:p>
    <w:p w14:paraId="5BC73348" w14:textId="33F41C75" w:rsidR="009B7FD6" w:rsidRPr="009B7FD6" w:rsidRDefault="009B7FD6" w:rsidP="009B7FD6">
      <w:pPr>
        <w:pStyle w:val="Voetnoottekst"/>
        <w:spacing w:line="360" w:lineRule="auto"/>
        <w:rPr>
          <w:sz w:val="18"/>
          <w:szCs w:val="18"/>
          <w:lang w:val="nl-NL"/>
        </w:rPr>
      </w:pPr>
      <w:r w:rsidRPr="009B7FD6">
        <w:rPr>
          <w:sz w:val="18"/>
          <w:szCs w:val="18"/>
        </w:rPr>
        <w:t>- Données collectées en février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725"/>
    <w:multiLevelType w:val="hybridMultilevel"/>
    <w:tmpl w:val="2A845BC4"/>
    <w:lvl w:ilvl="0" w:tplc="64D0E5E6">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E2"/>
    <w:rsid w:val="00023EA5"/>
    <w:rsid w:val="00095695"/>
    <w:rsid w:val="000959B1"/>
    <w:rsid w:val="000D0DB6"/>
    <w:rsid w:val="001540A0"/>
    <w:rsid w:val="00216CFE"/>
    <w:rsid w:val="002374F1"/>
    <w:rsid w:val="002455AB"/>
    <w:rsid w:val="0029282B"/>
    <w:rsid w:val="002A4B53"/>
    <w:rsid w:val="002D070D"/>
    <w:rsid w:val="002E029A"/>
    <w:rsid w:val="002E4950"/>
    <w:rsid w:val="002F2D59"/>
    <w:rsid w:val="002F62C2"/>
    <w:rsid w:val="003012F3"/>
    <w:rsid w:val="00317988"/>
    <w:rsid w:val="003C009B"/>
    <w:rsid w:val="003C278E"/>
    <w:rsid w:val="003E5C10"/>
    <w:rsid w:val="004D4946"/>
    <w:rsid w:val="00570432"/>
    <w:rsid w:val="00573DB5"/>
    <w:rsid w:val="0059535A"/>
    <w:rsid w:val="005A295F"/>
    <w:rsid w:val="005C46C0"/>
    <w:rsid w:val="005C753C"/>
    <w:rsid w:val="005D4F8F"/>
    <w:rsid w:val="005E0031"/>
    <w:rsid w:val="005F33EF"/>
    <w:rsid w:val="00602A80"/>
    <w:rsid w:val="00604427"/>
    <w:rsid w:val="006432E2"/>
    <w:rsid w:val="006B68EE"/>
    <w:rsid w:val="006C04EE"/>
    <w:rsid w:val="00744F7F"/>
    <w:rsid w:val="00794386"/>
    <w:rsid w:val="007D7B71"/>
    <w:rsid w:val="007F6A23"/>
    <w:rsid w:val="008A18C0"/>
    <w:rsid w:val="008A5860"/>
    <w:rsid w:val="008A6FD0"/>
    <w:rsid w:val="008C3D92"/>
    <w:rsid w:val="008D1E8F"/>
    <w:rsid w:val="00907E23"/>
    <w:rsid w:val="00922022"/>
    <w:rsid w:val="009222B7"/>
    <w:rsid w:val="00950ADD"/>
    <w:rsid w:val="00956E17"/>
    <w:rsid w:val="00971AB3"/>
    <w:rsid w:val="0097371A"/>
    <w:rsid w:val="009B7FD6"/>
    <w:rsid w:val="00A02668"/>
    <w:rsid w:val="00A97126"/>
    <w:rsid w:val="00AB59C4"/>
    <w:rsid w:val="00AE52A1"/>
    <w:rsid w:val="00B064E1"/>
    <w:rsid w:val="00B234DE"/>
    <w:rsid w:val="00B705A3"/>
    <w:rsid w:val="00BB1311"/>
    <w:rsid w:val="00C02945"/>
    <w:rsid w:val="00CC3A73"/>
    <w:rsid w:val="00CD1D67"/>
    <w:rsid w:val="00CD2969"/>
    <w:rsid w:val="00D21A3E"/>
    <w:rsid w:val="00D5427C"/>
    <w:rsid w:val="00D745BC"/>
    <w:rsid w:val="00DD72FA"/>
    <w:rsid w:val="00DE7550"/>
    <w:rsid w:val="00E16293"/>
    <w:rsid w:val="00E25C5C"/>
    <w:rsid w:val="00E60D6A"/>
    <w:rsid w:val="00E82597"/>
    <w:rsid w:val="00EA2537"/>
    <w:rsid w:val="00ED308B"/>
    <w:rsid w:val="00EF596F"/>
    <w:rsid w:val="00F01E3A"/>
    <w:rsid w:val="00F10FE6"/>
    <w:rsid w:val="00F111B3"/>
    <w:rsid w:val="00F416F7"/>
    <w:rsid w:val="00FC79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7EE2"/>
  <w15:chartTrackingRefBased/>
  <w15:docId w15:val="{794EBA3A-DA92-EE4F-BA57-BC002B8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7D7B7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2E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D7B71"/>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2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9220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Standaardalinea-lettertype"/>
    <w:uiPriority w:val="99"/>
    <w:unhideWhenUsed/>
    <w:rsid w:val="00570432"/>
    <w:rPr>
      <w:color w:val="0563C1" w:themeColor="hyperlink"/>
      <w:u w:val="single"/>
    </w:rPr>
  </w:style>
  <w:style w:type="character" w:customStyle="1" w:styleId="Onopgelostemelding1">
    <w:name w:val="Onopgeloste melding1"/>
    <w:basedOn w:val="Standaardalinea-lettertype"/>
    <w:uiPriority w:val="99"/>
    <w:semiHidden/>
    <w:unhideWhenUsed/>
    <w:rsid w:val="00570432"/>
    <w:rPr>
      <w:color w:val="605E5C"/>
      <w:shd w:val="clear" w:color="auto" w:fill="E1DFDD"/>
    </w:rPr>
  </w:style>
  <w:style w:type="paragraph" w:styleId="Lijstalinea">
    <w:name w:val="List Paragraph"/>
    <w:basedOn w:val="Standaard"/>
    <w:uiPriority w:val="34"/>
    <w:qFormat/>
    <w:rsid w:val="004D4946"/>
    <w:pPr>
      <w:ind w:left="720"/>
      <w:contextualSpacing/>
    </w:pPr>
  </w:style>
  <w:style w:type="paragraph" w:styleId="Voetnoottekst">
    <w:name w:val="footnote text"/>
    <w:basedOn w:val="Standaard"/>
    <w:link w:val="VoetnoottekstChar"/>
    <w:uiPriority w:val="99"/>
    <w:unhideWhenUsed/>
    <w:rsid w:val="004D4946"/>
    <w:rPr>
      <w:sz w:val="20"/>
      <w:szCs w:val="20"/>
    </w:rPr>
  </w:style>
  <w:style w:type="character" w:customStyle="1" w:styleId="VoetnoottekstChar">
    <w:name w:val="Voetnoottekst Char"/>
    <w:basedOn w:val="Standaardalinea-lettertype"/>
    <w:link w:val="Voetnoottekst"/>
    <w:uiPriority w:val="99"/>
    <w:rsid w:val="004D4946"/>
    <w:rPr>
      <w:sz w:val="20"/>
      <w:szCs w:val="20"/>
    </w:rPr>
  </w:style>
  <w:style w:type="character" w:styleId="Voetnootmarkering">
    <w:name w:val="footnote reference"/>
    <w:basedOn w:val="Standaardalinea-lettertype"/>
    <w:uiPriority w:val="99"/>
    <w:unhideWhenUsed/>
    <w:rsid w:val="004D4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2014">
      <w:bodyDiv w:val="1"/>
      <w:marLeft w:val="0"/>
      <w:marRight w:val="0"/>
      <w:marTop w:val="0"/>
      <w:marBottom w:val="0"/>
      <w:divBdr>
        <w:top w:val="none" w:sz="0" w:space="0" w:color="auto"/>
        <w:left w:val="none" w:sz="0" w:space="0" w:color="auto"/>
        <w:bottom w:val="none" w:sz="0" w:space="0" w:color="auto"/>
        <w:right w:val="none" w:sz="0" w:space="0" w:color="auto"/>
      </w:divBdr>
    </w:div>
    <w:div w:id="1105272952">
      <w:bodyDiv w:val="1"/>
      <w:marLeft w:val="0"/>
      <w:marRight w:val="0"/>
      <w:marTop w:val="0"/>
      <w:marBottom w:val="0"/>
      <w:divBdr>
        <w:top w:val="none" w:sz="0" w:space="0" w:color="auto"/>
        <w:left w:val="none" w:sz="0" w:space="0" w:color="auto"/>
        <w:bottom w:val="none" w:sz="0" w:space="0" w:color="auto"/>
        <w:right w:val="none" w:sz="0" w:space="0" w:color="auto"/>
      </w:divBdr>
    </w:div>
    <w:div w:id="2017799982">
      <w:bodyDiv w:val="1"/>
      <w:marLeft w:val="0"/>
      <w:marRight w:val="0"/>
      <w:marTop w:val="0"/>
      <w:marBottom w:val="0"/>
      <w:divBdr>
        <w:top w:val="none" w:sz="0" w:space="0" w:color="auto"/>
        <w:left w:val="none" w:sz="0" w:space="0" w:color="auto"/>
        <w:bottom w:val="none" w:sz="0" w:space="0" w:color="auto"/>
        <w:right w:val="none" w:sz="0" w:space="0" w:color="auto"/>
      </w:divBdr>
      <w:divsChild>
        <w:div w:id="1103040613">
          <w:marLeft w:val="0"/>
          <w:marRight w:val="0"/>
          <w:marTop w:val="0"/>
          <w:marBottom w:val="0"/>
          <w:divBdr>
            <w:top w:val="none" w:sz="0" w:space="0" w:color="auto"/>
            <w:left w:val="none" w:sz="0" w:space="0" w:color="auto"/>
            <w:bottom w:val="none" w:sz="0" w:space="0" w:color="auto"/>
            <w:right w:val="none" w:sz="0" w:space="0" w:color="auto"/>
          </w:divBdr>
          <w:divsChild>
            <w:div w:id="178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square-egg.be" TargetMode="External"/><Relationship Id="rId5" Type="http://schemas.openxmlformats.org/officeDocument/2006/relationships/webSettings" Target="webSettings.xml"/><Relationship Id="rId10" Type="http://schemas.openxmlformats.org/officeDocument/2006/relationships/hyperlink" Target="mailto:erc@autorola.b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57FC916A-7F9A-2C4C-A049-9DC627EE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6</cp:revision>
  <dcterms:created xsi:type="dcterms:W3CDTF">2019-03-19T10:10:00Z</dcterms:created>
  <dcterms:modified xsi:type="dcterms:W3CDTF">2019-03-19T18:18:00Z</dcterms:modified>
</cp:coreProperties>
</file>